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97" w:type="dxa"/>
        <w:jc w:val="center"/>
        <w:tblLook w:val="01E0" w:firstRow="1" w:lastRow="1" w:firstColumn="1" w:lastColumn="1" w:noHBand="0" w:noVBand="0"/>
      </w:tblPr>
      <w:tblGrid>
        <w:gridCol w:w="4928"/>
        <w:gridCol w:w="5669"/>
      </w:tblGrid>
      <w:tr w:rsidR="00B07621" w:rsidRPr="005F40E5" w14:paraId="4A36C5EA" w14:textId="77777777" w:rsidTr="00275047">
        <w:trPr>
          <w:trHeight w:val="709"/>
          <w:jc w:val="center"/>
        </w:trPr>
        <w:tc>
          <w:tcPr>
            <w:tcW w:w="4928" w:type="dxa"/>
          </w:tcPr>
          <w:p w14:paraId="5352375E" w14:textId="77777777" w:rsidR="00B07621" w:rsidRPr="005F40E5" w:rsidRDefault="00B07621" w:rsidP="00275047">
            <w:pPr>
              <w:spacing w:before="60" w:after="60" w:line="400" w:lineRule="exact"/>
              <w:contextualSpacing/>
              <w:jc w:val="center"/>
              <w:rPr>
                <w:sz w:val="26"/>
                <w:szCs w:val="26"/>
              </w:rPr>
            </w:pPr>
            <w:bookmarkStart w:id="0" w:name="loai_1_name"/>
            <w:r w:rsidRPr="005F40E5">
              <w:rPr>
                <w:b/>
                <w:sz w:val="26"/>
                <w:szCs w:val="26"/>
              </w:rPr>
              <w:br w:type="page"/>
            </w:r>
            <w:r w:rsidR="000C51D6">
              <w:rPr>
                <w:sz w:val="26"/>
                <w:szCs w:val="26"/>
              </w:rPr>
              <w:t>HỌC VIỆN NÔNG NGHIỆP VIỆT NAM</w:t>
            </w:r>
          </w:p>
          <w:p w14:paraId="1422F51B" w14:textId="77777777" w:rsidR="00B07621" w:rsidRPr="005F40E5" w:rsidRDefault="000C51D6" w:rsidP="00275047">
            <w:pPr>
              <w:spacing w:before="60" w:after="60" w:line="400" w:lineRule="exact"/>
              <w:contextualSpacing/>
              <w:jc w:val="center"/>
              <w:rPr>
                <w:b/>
                <w:bCs/>
                <w:sz w:val="26"/>
                <w:szCs w:val="26"/>
              </w:rPr>
            </w:pPr>
            <w:r>
              <w:rPr>
                <w:b/>
                <w:bCs/>
                <w:sz w:val="26"/>
                <w:szCs w:val="26"/>
              </w:rPr>
              <w:t xml:space="preserve">ĐƠN VỊ: </w:t>
            </w:r>
          </w:p>
        </w:tc>
        <w:tc>
          <w:tcPr>
            <w:tcW w:w="5669" w:type="dxa"/>
          </w:tcPr>
          <w:p w14:paraId="1C21CC20" w14:textId="77777777" w:rsidR="00B07621" w:rsidRPr="005F40E5" w:rsidRDefault="00B07621" w:rsidP="00275047">
            <w:pPr>
              <w:spacing w:before="60" w:after="60" w:line="400" w:lineRule="exact"/>
              <w:contextualSpacing/>
              <w:jc w:val="center"/>
              <w:rPr>
                <w:b/>
                <w:bCs/>
                <w:sz w:val="26"/>
                <w:szCs w:val="26"/>
              </w:rPr>
            </w:pPr>
            <w:r w:rsidRPr="005F40E5">
              <w:rPr>
                <w:b/>
                <w:bCs/>
                <w:sz w:val="26"/>
                <w:szCs w:val="26"/>
              </w:rPr>
              <w:t>CỘNG HÒA XÃ HỘI CHỦ NGHĨA VIỆT NAM</w:t>
            </w:r>
          </w:p>
          <w:p w14:paraId="57A0ADC2" w14:textId="77777777" w:rsidR="00B07621" w:rsidRPr="005F40E5" w:rsidRDefault="00B07621" w:rsidP="00275047">
            <w:pPr>
              <w:spacing w:before="60" w:after="60" w:line="400" w:lineRule="exact"/>
              <w:contextualSpacing/>
              <w:jc w:val="center"/>
              <w:rPr>
                <w:b/>
                <w:bCs/>
                <w:sz w:val="26"/>
                <w:szCs w:val="26"/>
              </w:rPr>
            </w:pPr>
            <w:r w:rsidRPr="005F40E5">
              <w:rPr>
                <w:b/>
                <w:bCs/>
                <w:noProof/>
                <w:sz w:val="26"/>
                <w:szCs w:val="26"/>
              </w:rPr>
              <mc:AlternateContent>
                <mc:Choice Requires="wps">
                  <w:drawing>
                    <wp:anchor distT="0" distB="0" distL="114300" distR="114300" simplePos="0" relativeHeight="251659264" behindDoc="0" locked="0" layoutInCell="1" allowOverlap="1" wp14:anchorId="6E2BE114" wp14:editId="2466A6D1">
                      <wp:simplePos x="0" y="0"/>
                      <wp:positionH relativeFrom="column">
                        <wp:posOffset>945515</wp:posOffset>
                      </wp:positionH>
                      <wp:positionV relativeFrom="paragraph">
                        <wp:posOffset>242570</wp:posOffset>
                      </wp:positionV>
                      <wp:extent cx="1524000" cy="0"/>
                      <wp:effectExtent l="5080" t="7620" r="13970" b="1143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C2FB1"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45pt,19.1pt" to="194.4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EG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"/>
                  </w:pict>
                </mc:Fallback>
              </mc:AlternateContent>
            </w:r>
            <w:r w:rsidRPr="005F40E5">
              <w:rPr>
                <w:b/>
                <w:bCs/>
                <w:sz w:val="26"/>
                <w:szCs w:val="26"/>
              </w:rPr>
              <w:t>Độc lập – Tự do – Hạnh phúc</w:t>
            </w:r>
          </w:p>
        </w:tc>
      </w:tr>
      <w:tr w:rsidR="00B07621" w:rsidRPr="005F40E5" w14:paraId="1B8BDFCF" w14:textId="77777777" w:rsidTr="00275047">
        <w:trPr>
          <w:jc w:val="center"/>
        </w:trPr>
        <w:tc>
          <w:tcPr>
            <w:tcW w:w="4928" w:type="dxa"/>
          </w:tcPr>
          <w:p w14:paraId="32538510" w14:textId="77777777" w:rsidR="00B07621" w:rsidRPr="005F40E5" w:rsidRDefault="00B07621" w:rsidP="00275047">
            <w:pPr>
              <w:spacing w:before="60" w:after="60" w:line="400" w:lineRule="exact"/>
              <w:contextualSpacing/>
              <w:jc w:val="center"/>
              <w:rPr>
                <w:bCs/>
                <w:sz w:val="26"/>
                <w:szCs w:val="26"/>
              </w:rPr>
            </w:pPr>
          </w:p>
        </w:tc>
        <w:tc>
          <w:tcPr>
            <w:tcW w:w="5669" w:type="dxa"/>
          </w:tcPr>
          <w:p w14:paraId="49249599" w14:textId="77777777" w:rsidR="00B07621" w:rsidRPr="005F40E5" w:rsidRDefault="00B07621" w:rsidP="000C51D6">
            <w:pPr>
              <w:spacing w:before="60" w:after="60" w:line="400" w:lineRule="exact"/>
              <w:contextualSpacing/>
              <w:jc w:val="right"/>
              <w:rPr>
                <w:bCs/>
                <w:i/>
                <w:sz w:val="26"/>
                <w:szCs w:val="26"/>
              </w:rPr>
            </w:pPr>
            <w:r w:rsidRPr="005F40E5">
              <w:rPr>
                <w:bCs/>
                <w:i/>
                <w:sz w:val="26"/>
                <w:szCs w:val="26"/>
              </w:rPr>
              <w:t xml:space="preserve">      Hà Nội, ngày </w:t>
            </w:r>
            <w:r w:rsidR="000C51D6">
              <w:rPr>
                <w:bCs/>
                <w:i/>
                <w:sz w:val="26"/>
                <w:szCs w:val="26"/>
              </w:rPr>
              <w:t xml:space="preserve">     </w:t>
            </w:r>
            <w:r w:rsidRPr="005F40E5">
              <w:rPr>
                <w:bCs/>
                <w:i/>
                <w:sz w:val="26"/>
                <w:szCs w:val="26"/>
              </w:rPr>
              <w:t xml:space="preserve"> tháng</w:t>
            </w:r>
            <w:r>
              <w:rPr>
                <w:bCs/>
                <w:i/>
                <w:sz w:val="26"/>
                <w:szCs w:val="26"/>
              </w:rPr>
              <w:t xml:space="preserve"> </w:t>
            </w:r>
            <w:r w:rsidR="000C51D6">
              <w:rPr>
                <w:bCs/>
                <w:i/>
                <w:sz w:val="26"/>
                <w:szCs w:val="26"/>
              </w:rPr>
              <w:t xml:space="preserve">     </w:t>
            </w:r>
            <w:r>
              <w:rPr>
                <w:bCs/>
                <w:i/>
                <w:sz w:val="26"/>
                <w:szCs w:val="26"/>
              </w:rPr>
              <w:t>năm 20</w:t>
            </w:r>
            <w:r w:rsidR="007F00C6">
              <w:rPr>
                <w:bCs/>
                <w:i/>
                <w:sz w:val="26"/>
                <w:szCs w:val="26"/>
              </w:rPr>
              <w:t>2</w:t>
            </w:r>
            <w:r w:rsidR="000C51D6">
              <w:rPr>
                <w:bCs/>
                <w:i/>
                <w:sz w:val="26"/>
                <w:szCs w:val="26"/>
              </w:rPr>
              <w:t>5</w:t>
            </w:r>
          </w:p>
        </w:tc>
      </w:tr>
      <w:bookmarkEnd w:id="0"/>
    </w:tbl>
    <w:p w14:paraId="6015B7C7" w14:textId="77777777" w:rsidR="000C51D6" w:rsidRDefault="000C51D6" w:rsidP="00E22F1D">
      <w:pPr>
        <w:tabs>
          <w:tab w:val="left" w:pos="709"/>
          <w:tab w:val="left" w:pos="851"/>
        </w:tabs>
        <w:spacing w:before="60" w:after="60" w:line="420" w:lineRule="exact"/>
        <w:contextualSpacing/>
        <w:jc w:val="center"/>
        <w:rPr>
          <w:b/>
          <w:bCs/>
          <w:sz w:val="26"/>
          <w:szCs w:val="26"/>
        </w:rPr>
      </w:pPr>
    </w:p>
    <w:p w14:paraId="3C38343F" w14:textId="77777777" w:rsidR="00B07621" w:rsidRPr="00E56AEB" w:rsidRDefault="000C51D6" w:rsidP="00E22F1D">
      <w:pPr>
        <w:tabs>
          <w:tab w:val="left" w:pos="709"/>
          <w:tab w:val="left" w:pos="851"/>
        </w:tabs>
        <w:spacing w:before="60" w:after="60" w:line="420" w:lineRule="exact"/>
        <w:contextualSpacing/>
        <w:jc w:val="center"/>
        <w:rPr>
          <w:b/>
          <w:bCs/>
          <w:sz w:val="26"/>
          <w:szCs w:val="26"/>
        </w:rPr>
      </w:pPr>
      <w:r>
        <w:rPr>
          <w:b/>
          <w:bCs/>
          <w:sz w:val="26"/>
          <w:szCs w:val="26"/>
        </w:rPr>
        <w:t>ĐỀ CƯƠNG</w:t>
      </w:r>
    </w:p>
    <w:p w14:paraId="53391E64" w14:textId="77777777" w:rsidR="00B07621" w:rsidRPr="00E8792C" w:rsidRDefault="000C51D6" w:rsidP="00E8792C">
      <w:pPr>
        <w:tabs>
          <w:tab w:val="left" w:pos="709"/>
          <w:tab w:val="left" w:pos="851"/>
        </w:tabs>
        <w:spacing w:before="60" w:after="60" w:line="420" w:lineRule="exact"/>
        <w:contextualSpacing/>
        <w:jc w:val="center"/>
        <w:rPr>
          <w:b/>
          <w:bCs/>
          <w:sz w:val="28"/>
          <w:szCs w:val="28"/>
        </w:rPr>
      </w:pPr>
      <w:r w:rsidRPr="00E8792C">
        <w:rPr>
          <w:b/>
          <w:bCs/>
          <w:sz w:val="28"/>
          <w:szCs w:val="28"/>
        </w:rPr>
        <w:t>Tổng kết Phong trào thi đua yêu nước và công tác khen thưởng giai đoạn 2021-2025, phương hướng, nhiệm vụ giai đoạn 2026-2030</w:t>
      </w:r>
    </w:p>
    <w:p w14:paraId="514FC36F" w14:textId="77777777" w:rsidR="00B07621" w:rsidRPr="00E56AEB" w:rsidRDefault="00B07621" w:rsidP="00E22F1D">
      <w:pPr>
        <w:tabs>
          <w:tab w:val="left" w:pos="709"/>
          <w:tab w:val="left" w:pos="851"/>
        </w:tabs>
        <w:spacing w:before="60" w:after="60" w:line="420" w:lineRule="exact"/>
        <w:ind w:firstLine="567"/>
        <w:contextualSpacing/>
        <w:jc w:val="center"/>
        <w:rPr>
          <w:b/>
          <w:bCs/>
          <w:sz w:val="26"/>
          <w:szCs w:val="26"/>
        </w:rPr>
      </w:pPr>
      <w:r w:rsidRPr="00E56AEB">
        <w:rPr>
          <w:b/>
          <w:bCs/>
          <w:sz w:val="26"/>
          <w:szCs w:val="26"/>
        </w:rPr>
        <w:t>-----------------------------------</w:t>
      </w:r>
    </w:p>
    <w:p w14:paraId="7C0962BF" w14:textId="77777777" w:rsidR="000C51D6" w:rsidRDefault="000C51D6" w:rsidP="00110B74">
      <w:pPr>
        <w:tabs>
          <w:tab w:val="left" w:pos="851"/>
          <w:tab w:val="left" w:pos="993"/>
        </w:tabs>
        <w:spacing w:before="60" w:after="60" w:line="420" w:lineRule="exact"/>
        <w:ind w:firstLine="567"/>
        <w:contextualSpacing/>
        <w:jc w:val="both"/>
        <w:rPr>
          <w:sz w:val="26"/>
          <w:szCs w:val="26"/>
        </w:rPr>
      </w:pPr>
    </w:p>
    <w:p w14:paraId="0F1E2908" w14:textId="77777777" w:rsidR="000C51D6" w:rsidRPr="000C51D6" w:rsidRDefault="000C51D6" w:rsidP="000C51D6">
      <w:pPr>
        <w:tabs>
          <w:tab w:val="left" w:pos="851"/>
          <w:tab w:val="left" w:pos="993"/>
        </w:tabs>
        <w:spacing w:before="60" w:after="60" w:line="420" w:lineRule="exact"/>
        <w:ind w:firstLine="567"/>
        <w:contextualSpacing/>
        <w:jc w:val="center"/>
        <w:rPr>
          <w:b/>
          <w:sz w:val="26"/>
          <w:szCs w:val="26"/>
        </w:rPr>
      </w:pPr>
      <w:r w:rsidRPr="000C51D6">
        <w:rPr>
          <w:b/>
          <w:sz w:val="26"/>
          <w:szCs w:val="26"/>
        </w:rPr>
        <w:t>PHẦN THỨ NHẤT</w:t>
      </w:r>
    </w:p>
    <w:p w14:paraId="1318E443" w14:textId="77777777" w:rsidR="000C51D6" w:rsidRPr="000C51D6" w:rsidRDefault="000C51D6" w:rsidP="000C51D6">
      <w:pPr>
        <w:tabs>
          <w:tab w:val="left" w:pos="851"/>
          <w:tab w:val="left" w:pos="993"/>
        </w:tabs>
        <w:spacing w:before="60" w:after="60" w:line="420" w:lineRule="exact"/>
        <w:ind w:firstLine="567"/>
        <w:contextualSpacing/>
        <w:jc w:val="center"/>
        <w:rPr>
          <w:b/>
          <w:sz w:val="26"/>
          <w:szCs w:val="26"/>
        </w:rPr>
      </w:pPr>
      <w:r w:rsidRPr="000C51D6">
        <w:rPr>
          <w:b/>
          <w:sz w:val="26"/>
          <w:szCs w:val="26"/>
        </w:rPr>
        <w:t>KẾT QUẢ PHONG TRÀO THI ĐUA YÊU NƯỚC VÀ CÔNG TÁC</w:t>
      </w:r>
      <w:r w:rsidR="00E8792C">
        <w:rPr>
          <w:b/>
          <w:sz w:val="26"/>
          <w:szCs w:val="26"/>
        </w:rPr>
        <w:t xml:space="preserve">             </w:t>
      </w:r>
      <w:r w:rsidRPr="000C51D6">
        <w:rPr>
          <w:b/>
          <w:sz w:val="26"/>
          <w:szCs w:val="26"/>
        </w:rPr>
        <w:t xml:space="preserve"> KHEN THƯỞNG GIAI ĐOẠN 2021-2025</w:t>
      </w:r>
    </w:p>
    <w:p w14:paraId="3CF99556" w14:textId="77777777" w:rsidR="000C51D6" w:rsidRDefault="000C51D6" w:rsidP="00110B74">
      <w:pPr>
        <w:tabs>
          <w:tab w:val="left" w:pos="851"/>
          <w:tab w:val="left" w:pos="993"/>
        </w:tabs>
        <w:spacing w:before="60" w:after="60" w:line="420" w:lineRule="exact"/>
        <w:ind w:firstLine="567"/>
        <w:contextualSpacing/>
        <w:jc w:val="both"/>
        <w:rPr>
          <w:sz w:val="26"/>
          <w:szCs w:val="26"/>
        </w:rPr>
      </w:pPr>
    </w:p>
    <w:p w14:paraId="4DE2EA85" w14:textId="77777777" w:rsidR="000C51D6" w:rsidRDefault="000C51D6" w:rsidP="000C51D6">
      <w:pPr>
        <w:tabs>
          <w:tab w:val="left" w:pos="851"/>
          <w:tab w:val="left" w:pos="993"/>
        </w:tabs>
        <w:spacing w:before="60" w:after="60" w:line="420" w:lineRule="exact"/>
        <w:jc w:val="both"/>
        <w:rPr>
          <w:b/>
          <w:sz w:val="26"/>
          <w:szCs w:val="26"/>
        </w:rPr>
      </w:pPr>
      <w:r>
        <w:rPr>
          <w:b/>
          <w:sz w:val="26"/>
          <w:szCs w:val="26"/>
        </w:rPr>
        <w:tab/>
      </w:r>
      <w:r w:rsidRPr="000C51D6">
        <w:rPr>
          <w:b/>
          <w:sz w:val="26"/>
          <w:szCs w:val="26"/>
        </w:rPr>
        <w:t>I. KẾT QUẢ CÔNG TÁC THI ĐUA KHEN THƯỞNG GIAI ĐOẠN 2021-2025</w:t>
      </w:r>
      <w:r>
        <w:rPr>
          <w:b/>
          <w:sz w:val="26"/>
          <w:szCs w:val="26"/>
        </w:rPr>
        <w:t>.</w:t>
      </w:r>
    </w:p>
    <w:p w14:paraId="154BC7D6" w14:textId="77777777" w:rsidR="000C51D6" w:rsidRPr="00E8792C" w:rsidRDefault="000C51D6" w:rsidP="000C51D6">
      <w:pPr>
        <w:tabs>
          <w:tab w:val="left" w:pos="851"/>
          <w:tab w:val="left" w:pos="993"/>
        </w:tabs>
        <w:spacing w:before="60" w:after="60" w:line="420" w:lineRule="exact"/>
        <w:jc w:val="both"/>
        <w:rPr>
          <w:b/>
          <w:sz w:val="28"/>
          <w:szCs w:val="28"/>
        </w:rPr>
      </w:pPr>
      <w:r>
        <w:rPr>
          <w:b/>
          <w:sz w:val="26"/>
          <w:szCs w:val="26"/>
        </w:rPr>
        <w:tab/>
      </w:r>
      <w:r w:rsidR="00F87268" w:rsidRPr="00E8792C">
        <w:rPr>
          <w:b/>
          <w:sz w:val="28"/>
          <w:szCs w:val="28"/>
        </w:rPr>
        <w:t>1. Lãnh đạo, chỉ đạo về công tác thi đua khen thưởng</w:t>
      </w:r>
    </w:p>
    <w:p w14:paraId="173E1637" w14:textId="77777777" w:rsidR="00F87268" w:rsidRPr="00E8792C" w:rsidRDefault="00F87268" w:rsidP="000C51D6">
      <w:pPr>
        <w:tabs>
          <w:tab w:val="left" w:pos="851"/>
          <w:tab w:val="left" w:pos="993"/>
        </w:tabs>
        <w:spacing w:before="60" w:after="60" w:line="420" w:lineRule="exact"/>
        <w:jc w:val="both"/>
        <w:rPr>
          <w:sz w:val="28"/>
          <w:szCs w:val="28"/>
        </w:rPr>
      </w:pPr>
      <w:r w:rsidRPr="00E8792C">
        <w:rPr>
          <w:sz w:val="28"/>
          <w:szCs w:val="28"/>
        </w:rPr>
        <w:tab/>
        <w:t>- Đánh giá công tác lãnh đạo, chỉ đạo các phong trào thi đua yêu nước và công tác khen thưởng của cấp ủy Đảng, chính quyền, đoàn thể trong những năm qua;</w:t>
      </w:r>
    </w:p>
    <w:p w14:paraId="43E6FBAB" w14:textId="77777777" w:rsidR="00F87268" w:rsidRPr="00E8792C" w:rsidRDefault="00F87268" w:rsidP="000C51D6">
      <w:pPr>
        <w:tabs>
          <w:tab w:val="left" w:pos="851"/>
          <w:tab w:val="left" w:pos="993"/>
        </w:tabs>
        <w:spacing w:before="60" w:after="60" w:line="420" w:lineRule="exact"/>
        <w:jc w:val="both"/>
        <w:rPr>
          <w:b/>
          <w:sz w:val="28"/>
          <w:szCs w:val="28"/>
        </w:rPr>
      </w:pPr>
      <w:r w:rsidRPr="00E8792C">
        <w:rPr>
          <w:sz w:val="28"/>
          <w:szCs w:val="28"/>
        </w:rPr>
        <w:tab/>
      </w:r>
      <w:r w:rsidRPr="00E8792C">
        <w:rPr>
          <w:b/>
          <w:sz w:val="28"/>
          <w:szCs w:val="28"/>
        </w:rPr>
        <w:t>2. Kết quả triển khai các phong trào thi đua yêu nước</w:t>
      </w:r>
    </w:p>
    <w:p w14:paraId="0F51B819" w14:textId="77777777" w:rsidR="00637A76" w:rsidRPr="00E8792C" w:rsidRDefault="00F87268" w:rsidP="000C51D6">
      <w:pPr>
        <w:tabs>
          <w:tab w:val="left" w:pos="851"/>
          <w:tab w:val="left" w:pos="993"/>
        </w:tabs>
        <w:spacing w:before="60" w:after="60" w:line="420" w:lineRule="exact"/>
        <w:jc w:val="both"/>
        <w:rPr>
          <w:sz w:val="28"/>
          <w:szCs w:val="28"/>
        </w:rPr>
      </w:pPr>
      <w:r w:rsidRPr="00E8792C">
        <w:rPr>
          <w:sz w:val="28"/>
          <w:szCs w:val="28"/>
        </w:rPr>
        <w:tab/>
        <w:t>- Đánh giá kết quả đạt được của các phong t</w:t>
      </w:r>
      <w:r w:rsidR="00637A76" w:rsidRPr="00E8792C">
        <w:rPr>
          <w:sz w:val="28"/>
          <w:szCs w:val="28"/>
        </w:rPr>
        <w:t xml:space="preserve">rào thi đua yêu nước từ Đại hội </w:t>
      </w:r>
      <w:r w:rsidR="00E8792C">
        <w:rPr>
          <w:sz w:val="28"/>
          <w:szCs w:val="28"/>
        </w:rPr>
        <w:t xml:space="preserve">thi đua lần lần trước đến nay </w:t>
      </w:r>
      <w:r w:rsidR="00637A76" w:rsidRPr="00E8792C">
        <w:rPr>
          <w:sz w:val="28"/>
          <w:szCs w:val="28"/>
        </w:rPr>
        <w:t xml:space="preserve">do Học viện phát động </w:t>
      </w:r>
      <w:r w:rsidR="00EA32FD">
        <w:rPr>
          <w:sz w:val="28"/>
          <w:szCs w:val="28"/>
        </w:rPr>
        <w:t>(</w:t>
      </w:r>
      <w:r w:rsidR="00637A76" w:rsidRPr="00E8792C">
        <w:rPr>
          <w:sz w:val="28"/>
          <w:szCs w:val="28"/>
        </w:rPr>
        <w:t xml:space="preserve">từ năm 2021 đến nay). Nêu rõ các phong trào thi đua tiêu biểu mà đơn vị đã triển khai và đánh giá tác động, tính thiết thực, hiệu quả của các phong trào thi đua góp phần vào việc thực hiện nhiệm vụ được giao của cơ quan, đơn vị. </w:t>
      </w:r>
    </w:p>
    <w:p w14:paraId="4D105CEA" w14:textId="77777777" w:rsidR="005808BB" w:rsidRPr="00E8792C" w:rsidRDefault="00637A76" w:rsidP="005808BB">
      <w:pPr>
        <w:spacing w:before="100" w:line="300" w:lineRule="exact"/>
        <w:ind w:firstLine="720"/>
        <w:jc w:val="both"/>
        <w:rPr>
          <w:bCs/>
          <w:sz w:val="28"/>
          <w:szCs w:val="28"/>
          <w:lang w:val="vi-VN"/>
        </w:rPr>
      </w:pPr>
      <w:r w:rsidRPr="00E8792C">
        <w:rPr>
          <w:sz w:val="28"/>
          <w:szCs w:val="28"/>
        </w:rPr>
        <w:t xml:space="preserve">Đặc biệt chú trọng đánh giá tổng kết kết quả đạt được của các phong trào thi đua: </w:t>
      </w:r>
      <w:r w:rsidR="005808BB" w:rsidRPr="00E8792C">
        <w:rPr>
          <w:bCs/>
          <w:sz w:val="28"/>
          <w:szCs w:val="28"/>
          <w:lang w:val="vi-VN"/>
        </w:rPr>
        <w:t xml:space="preserve">như Phong trào thi đua </w:t>
      </w:r>
      <w:r w:rsidR="005808BB" w:rsidRPr="00E8792C">
        <w:rPr>
          <w:bCs/>
          <w:i/>
          <w:sz w:val="28"/>
          <w:szCs w:val="28"/>
          <w:lang w:val="vi-VN"/>
        </w:rPr>
        <w:t>“Toàn ngành Nông nghiệp và PTNT chung sức xây dựng nền nông nghiệp hiện đại, nông dân giàu có, nông thôn văn minh</w:t>
      </w:r>
      <w:r w:rsidR="005808BB" w:rsidRPr="00E8792C">
        <w:rPr>
          <w:bCs/>
          <w:sz w:val="28"/>
          <w:szCs w:val="28"/>
          <w:lang w:val="vi-VN"/>
        </w:rPr>
        <w:t xml:space="preserve"> </w:t>
      </w:r>
      <w:r w:rsidR="005808BB" w:rsidRPr="00E8792C">
        <w:rPr>
          <w:bCs/>
          <w:i/>
          <w:sz w:val="28"/>
          <w:szCs w:val="28"/>
          <w:lang w:val="vi-VN"/>
        </w:rPr>
        <w:t>giai đoạn 2020-2025”;</w:t>
      </w:r>
      <w:r w:rsidR="005808BB" w:rsidRPr="00E8792C">
        <w:rPr>
          <w:bCs/>
          <w:sz w:val="28"/>
          <w:szCs w:val="28"/>
          <w:lang w:val="vi-VN"/>
        </w:rPr>
        <w:t xml:space="preserve"> “</w:t>
      </w:r>
      <w:r w:rsidR="005808BB" w:rsidRPr="00E8792C">
        <w:rPr>
          <w:bCs/>
          <w:i/>
          <w:sz w:val="28"/>
          <w:szCs w:val="28"/>
          <w:lang w:val="vi-VN"/>
        </w:rPr>
        <w:t>Cả nước chung sức xây dựng nông thôn mới”, “Cả nước chung tay Vì người nghèo- Không để ai bị bỏ lại phía sau”, “Cán bộ công chức, viên chức thi đua thực hiện văn hóa công sở; “Đẩy mạnh phát triển kết cấu hạ tầng đồng bộ, hiện đại; thực hiện tiết kiệm, chống lãng phí”; “Cả nước thi đua xây dựng xã hội học tập, đẩy mạnh học tập suốt đời giai đoạn 2023-2030”</w:t>
      </w:r>
      <w:r w:rsidR="005808BB" w:rsidRPr="00E8792C">
        <w:rPr>
          <w:bCs/>
          <w:sz w:val="28"/>
          <w:szCs w:val="28"/>
          <w:lang w:val="vi-VN"/>
        </w:rPr>
        <w:t xml:space="preserve"> </w:t>
      </w:r>
      <w:r w:rsidR="005808BB" w:rsidRPr="00E8792C">
        <w:rPr>
          <w:bCs/>
          <w:i/>
          <w:sz w:val="28"/>
          <w:szCs w:val="28"/>
          <w:lang w:val="vi-VN"/>
        </w:rPr>
        <w:t>và</w:t>
      </w:r>
      <w:r w:rsidR="005808BB" w:rsidRPr="00E8792C">
        <w:rPr>
          <w:bCs/>
          <w:sz w:val="28"/>
          <w:szCs w:val="28"/>
          <w:lang w:val="vi-VN"/>
        </w:rPr>
        <w:t xml:space="preserve"> “</w:t>
      </w:r>
      <w:r w:rsidR="005808BB" w:rsidRPr="00E8792C">
        <w:rPr>
          <w:bCs/>
          <w:i/>
          <w:sz w:val="28"/>
          <w:szCs w:val="28"/>
          <w:lang w:val="vi-VN"/>
        </w:rPr>
        <w:t>Cả nước chung tay Xóa nhà tạm, nhà dột nát</w:t>
      </w:r>
      <w:r w:rsidR="005808BB" w:rsidRPr="00E8792C">
        <w:rPr>
          <w:b/>
          <w:bCs/>
          <w:i/>
          <w:sz w:val="28"/>
          <w:szCs w:val="28"/>
          <w:lang w:val="vi-VN"/>
        </w:rPr>
        <w:t>”</w:t>
      </w:r>
      <w:r w:rsidR="005808BB" w:rsidRPr="00E8792C">
        <w:rPr>
          <w:bCs/>
          <w:sz w:val="28"/>
          <w:szCs w:val="28"/>
          <w:lang w:val="vi-VN"/>
        </w:rPr>
        <w:t xml:space="preserve"> trong năm 2025.</w:t>
      </w:r>
    </w:p>
    <w:p w14:paraId="07C961F1" w14:textId="77777777" w:rsidR="005808BB" w:rsidRPr="00EA32FD" w:rsidRDefault="005808BB" w:rsidP="000C51D6">
      <w:pPr>
        <w:tabs>
          <w:tab w:val="left" w:pos="851"/>
          <w:tab w:val="left" w:pos="993"/>
        </w:tabs>
        <w:spacing w:before="60" w:after="60" w:line="420" w:lineRule="exact"/>
        <w:jc w:val="both"/>
        <w:rPr>
          <w:b/>
          <w:sz w:val="28"/>
          <w:szCs w:val="28"/>
        </w:rPr>
      </w:pPr>
      <w:r w:rsidRPr="00E8792C">
        <w:rPr>
          <w:sz w:val="28"/>
          <w:szCs w:val="28"/>
        </w:rPr>
        <w:tab/>
      </w:r>
      <w:r w:rsidRPr="00EA32FD">
        <w:rPr>
          <w:b/>
          <w:sz w:val="28"/>
          <w:szCs w:val="28"/>
        </w:rPr>
        <w:t>3. Kết quả công tác xây dựng, nhân rộng điển hình tiên tiến:</w:t>
      </w:r>
    </w:p>
    <w:p w14:paraId="53BF015D" w14:textId="77777777" w:rsidR="005808BB" w:rsidRPr="00EA32FD" w:rsidRDefault="005808BB" w:rsidP="000C51D6">
      <w:pPr>
        <w:tabs>
          <w:tab w:val="left" w:pos="851"/>
          <w:tab w:val="left" w:pos="993"/>
        </w:tabs>
        <w:spacing w:before="60" w:after="60" w:line="420" w:lineRule="exact"/>
        <w:jc w:val="both"/>
        <w:rPr>
          <w:sz w:val="28"/>
          <w:szCs w:val="28"/>
        </w:rPr>
      </w:pPr>
      <w:r w:rsidRPr="00EA32FD">
        <w:rPr>
          <w:sz w:val="28"/>
          <w:szCs w:val="28"/>
        </w:rPr>
        <w:lastRenderedPageBreak/>
        <w:tab/>
        <w:t xml:space="preserve">Nêu rõ cách thức triển khai </w:t>
      </w:r>
      <w:r w:rsidR="00A847C7" w:rsidRPr="00EA32FD">
        <w:rPr>
          <w:sz w:val="28"/>
          <w:szCs w:val="28"/>
        </w:rPr>
        <w:t>việc phát hiện, xây dựng điển hình tiên tiến, việc tổ chức tuyên truyền để nhân rộng tại cơ quan, đơn vị hoặc trong lĩnh vực hoạt động; biểu dương, khen thưởng các điển hình tiên tiến.</w:t>
      </w:r>
    </w:p>
    <w:p w14:paraId="61A42A12" w14:textId="77777777" w:rsidR="00A847C7" w:rsidRPr="00EA32FD" w:rsidRDefault="00A847C7" w:rsidP="000C51D6">
      <w:pPr>
        <w:tabs>
          <w:tab w:val="left" w:pos="851"/>
          <w:tab w:val="left" w:pos="993"/>
        </w:tabs>
        <w:spacing w:before="60" w:after="60" w:line="420" w:lineRule="exact"/>
        <w:jc w:val="both"/>
        <w:rPr>
          <w:b/>
          <w:sz w:val="28"/>
          <w:szCs w:val="28"/>
        </w:rPr>
      </w:pPr>
      <w:r w:rsidRPr="00EA32FD">
        <w:rPr>
          <w:sz w:val="28"/>
          <w:szCs w:val="28"/>
        </w:rPr>
        <w:tab/>
      </w:r>
      <w:r w:rsidRPr="00EA32FD">
        <w:rPr>
          <w:b/>
          <w:sz w:val="28"/>
          <w:szCs w:val="28"/>
        </w:rPr>
        <w:t xml:space="preserve">4. </w:t>
      </w:r>
      <w:r w:rsidR="00090AB4" w:rsidRPr="00EA32FD">
        <w:rPr>
          <w:b/>
          <w:sz w:val="28"/>
          <w:szCs w:val="28"/>
        </w:rPr>
        <w:t>Công tác khen thưởng</w:t>
      </w:r>
    </w:p>
    <w:p w14:paraId="71EED3D8" w14:textId="77777777" w:rsidR="00090AB4" w:rsidRPr="00EA32FD" w:rsidRDefault="00090AB4" w:rsidP="003547FE">
      <w:pPr>
        <w:tabs>
          <w:tab w:val="left" w:pos="851"/>
          <w:tab w:val="left" w:pos="993"/>
        </w:tabs>
        <w:spacing w:before="60" w:after="60" w:line="420" w:lineRule="exact"/>
        <w:jc w:val="both"/>
        <w:rPr>
          <w:sz w:val="28"/>
          <w:szCs w:val="28"/>
        </w:rPr>
      </w:pPr>
      <w:r w:rsidRPr="00EA32FD">
        <w:rPr>
          <w:sz w:val="28"/>
          <w:szCs w:val="28"/>
        </w:rPr>
        <w:tab/>
      </w:r>
      <w:r w:rsidR="003547FE" w:rsidRPr="00EA32FD">
        <w:rPr>
          <w:sz w:val="28"/>
          <w:szCs w:val="28"/>
        </w:rPr>
        <w:t xml:space="preserve">- </w:t>
      </w:r>
      <w:r w:rsidRPr="00EA32FD">
        <w:rPr>
          <w:sz w:val="28"/>
          <w:szCs w:val="28"/>
        </w:rPr>
        <w:t>Tổng hợp báo cáo về kết quả khen thưởng của các tập thể, cá nhân</w:t>
      </w:r>
      <w:r w:rsidR="00EA32FD">
        <w:rPr>
          <w:sz w:val="28"/>
          <w:szCs w:val="28"/>
        </w:rPr>
        <w:t xml:space="preserve"> đơn vị</w:t>
      </w:r>
      <w:r w:rsidRPr="00EA32FD">
        <w:rPr>
          <w:sz w:val="28"/>
          <w:szCs w:val="28"/>
        </w:rPr>
        <w:t xml:space="preserve"> trong giai đoạn 2021-2025</w:t>
      </w:r>
      <w:r w:rsidR="00EA32FD">
        <w:rPr>
          <w:sz w:val="28"/>
          <w:szCs w:val="28"/>
        </w:rPr>
        <w:t xml:space="preserve"> (thống kê số lượng Bằng khen, giấy khen và hình thức</w:t>
      </w:r>
      <w:r w:rsidR="003547FE" w:rsidRPr="00EA32FD">
        <w:rPr>
          <w:sz w:val="28"/>
          <w:szCs w:val="28"/>
        </w:rPr>
        <w:t xml:space="preserve"> khen thưởn</w:t>
      </w:r>
      <w:r w:rsidR="00EA32FD">
        <w:rPr>
          <w:sz w:val="28"/>
          <w:szCs w:val="28"/>
        </w:rPr>
        <w:t>g); trong đó</w:t>
      </w:r>
      <w:r w:rsidR="003700BA">
        <w:rPr>
          <w:sz w:val="28"/>
          <w:szCs w:val="28"/>
        </w:rPr>
        <w:t xml:space="preserve"> có</w:t>
      </w:r>
      <w:r w:rsidR="00EA32FD">
        <w:rPr>
          <w:sz w:val="28"/>
          <w:szCs w:val="28"/>
        </w:rPr>
        <w:t xml:space="preserve"> </w:t>
      </w:r>
      <w:r w:rsidR="003700BA">
        <w:rPr>
          <w:sz w:val="28"/>
          <w:szCs w:val="28"/>
        </w:rPr>
        <w:t xml:space="preserve">báo cáo cụ thể về kết quả khen thưởng của các </w:t>
      </w:r>
      <w:r w:rsidR="003547FE" w:rsidRPr="00EA32FD">
        <w:rPr>
          <w:sz w:val="28"/>
          <w:szCs w:val="28"/>
        </w:rPr>
        <w:t>Phong trào thi đua</w:t>
      </w:r>
      <w:r w:rsidR="00E8792C" w:rsidRPr="00EA32FD">
        <w:rPr>
          <w:sz w:val="28"/>
          <w:szCs w:val="28"/>
        </w:rPr>
        <w:t xml:space="preserve"> </w:t>
      </w:r>
      <w:r w:rsidR="003700BA">
        <w:rPr>
          <w:sz w:val="28"/>
          <w:szCs w:val="28"/>
        </w:rPr>
        <w:t>đã nêu</w:t>
      </w:r>
      <w:r w:rsidR="00EA32FD">
        <w:rPr>
          <w:sz w:val="28"/>
          <w:szCs w:val="28"/>
        </w:rPr>
        <w:t xml:space="preserve"> trên.</w:t>
      </w:r>
    </w:p>
    <w:p w14:paraId="72420777" w14:textId="77777777" w:rsidR="00E8792C" w:rsidRDefault="00E8792C" w:rsidP="00E8792C">
      <w:pPr>
        <w:pStyle w:val="BodyText"/>
        <w:numPr>
          <w:ilvl w:val="0"/>
          <w:numId w:val="6"/>
        </w:numPr>
        <w:tabs>
          <w:tab w:val="left" w:pos="1179"/>
        </w:tabs>
        <w:ind w:firstLine="780"/>
        <w:jc w:val="both"/>
      </w:pPr>
      <w:r>
        <w:rPr>
          <w:b/>
          <w:bCs/>
          <w:lang w:val="vi-VN" w:eastAsia="vi-VN" w:bidi="vi-VN"/>
        </w:rPr>
        <w:t xml:space="preserve">TÁC ĐỘNG, HIỆU QUẢ CỦA CÔNG TÁC THI ĐUA KHEN THƯỞNG ĐÓI VỚI KÉT QUẢ </w:t>
      </w:r>
      <w:r>
        <w:rPr>
          <w:b/>
          <w:bCs/>
          <w:lang w:eastAsia="vi-VN" w:bidi="vi-VN"/>
        </w:rPr>
        <w:t>THỰC</w:t>
      </w:r>
      <w:r>
        <w:rPr>
          <w:b/>
          <w:bCs/>
          <w:lang w:val="vi-VN" w:eastAsia="vi-VN" w:bidi="vi-VN"/>
        </w:rPr>
        <w:t xml:space="preserve"> HIỆN CÁC NHIỆM </w:t>
      </w:r>
      <w:r>
        <w:rPr>
          <w:b/>
          <w:bCs/>
          <w:lang w:eastAsia="vi-VN" w:bidi="vi-VN"/>
        </w:rPr>
        <w:t>VỤ ĐƠN VỊ</w:t>
      </w:r>
    </w:p>
    <w:p w14:paraId="6A256620" w14:textId="77777777" w:rsidR="00E8792C" w:rsidRPr="00E8792C" w:rsidRDefault="00E8792C" w:rsidP="00E8792C">
      <w:pPr>
        <w:pStyle w:val="BodyText"/>
        <w:ind w:firstLine="780"/>
        <w:jc w:val="both"/>
        <w:rPr>
          <w:sz w:val="28"/>
          <w:szCs w:val="28"/>
        </w:rPr>
      </w:pPr>
      <w:r w:rsidRPr="00E8792C">
        <w:rPr>
          <w:sz w:val="28"/>
          <w:szCs w:val="28"/>
          <w:lang w:val="vi-VN" w:eastAsia="vi-VN" w:bidi="vi-VN"/>
        </w:rPr>
        <w:t xml:space="preserve">Phân tích </w:t>
      </w:r>
      <w:r w:rsidRPr="00E8792C">
        <w:rPr>
          <w:sz w:val="28"/>
          <w:szCs w:val="28"/>
          <w:lang w:eastAsia="vi-VN" w:bidi="vi-VN"/>
        </w:rPr>
        <w:t>nhữn</w:t>
      </w:r>
      <w:r w:rsidRPr="00E8792C">
        <w:rPr>
          <w:sz w:val="28"/>
          <w:szCs w:val="28"/>
          <w:lang w:val="vi-VN" w:eastAsia="vi-VN" w:bidi="vi-VN"/>
        </w:rPr>
        <w:t>g kết quả đạt được trong thực hiện các nhiệm vụ của đơn vị gắn với các phong trào thi đua đã triển khai trong 5 năm qua.</w:t>
      </w:r>
    </w:p>
    <w:p w14:paraId="37CBCA3E" w14:textId="77777777" w:rsidR="00E8792C" w:rsidRPr="00E8792C" w:rsidRDefault="00E8792C" w:rsidP="00E8792C">
      <w:pPr>
        <w:pStyle w:val="BodyText"/>
        <w:ind w:firstLine="780"/>
        <w:jc w:val="both"/>
        <w:rPr>
          <w:sz w:val="28"/>
          <w:szCs w:val="28"/>
        </w:rPr>
      </w:pPr>
      <w:r w:rsidRPr="00E8792C">
        <w:rPr>
          <w:b/>
          <w:sz w:val="28"/>
          <w:szCs w:val="28"/>
        </w:rPr>
        <w:t>III.</w:t>
      </w:r>
      <w:r w:rsidRPr="00E8792C">
        <w:rPr>
          <w:b/>
          <w:bCs/>
          <w:sz w:val="28"/>
          <w:szCs w:val="28"/>
          <w:lang w:val="vi-VN" w:eastAsia="vi-VN" w:bidi="vi-VN"/>
        </w:rPr>
        <w:t>ĐÁNH GIÁ CHUNG</w:t>
      </w:r>
    </w:p>
    <w:p w14:paraId="201A8697" w14:textId="77777777" w:rsidR="00E8792C" w:rsidRPr="00E8792C" w:rsidRDefault="00E8792C" w:rsidP="00E8792C">
      <w:pPr>
        <w:pStyle w:val="Heading10"/>
        <w:keepNext/>
        <w:keepLines/>
        <w:numPr>
          <w:ilvl w:val="0"/>
          <w:numId w:val="7"/>
        </w:numPr>
        <w:tabs>
          <w:tab w:val="left" w:pos="1158"/>
        </w:tabs>
        <w:ind w:firstLine="780"/>
        <w:jc w:val="both"/>
        <w:rPr>
          <w:sz w:val="28"/>
          <w:szCs w:val="28"/>
        </w:rPr>
      </w:pPr>
      <w:bookmarkStart w:id="1" w:name="bookmark14"/>
      <w:r w:rsidRPr="00E8792C">
        <w:rPr>
          <w:sz w:val="28"/>
          <w:szCs w:val="28"/>
          <w:lang w:val="vi-VN" w:eastAsia="vi-VN" w:bidi="vi-VN"/>
        </w:rPr>
        <w:t>Ưu điểm:</w:t>
      </w:r>
      <w:bookmarkEnd w:id="1"/>
    </w:p>
    <w:p w14:paraId="34AA0F12" w14:textId="77777777" w:rsidR="00E8792C" w:rsidRPr="00E8792C" w:rsidRDefault="00E8792C" w:rsidP="00E8792C">
      <w:pPr>
        <w:pStyle w:val="BodyText"/>
        <w:ind w:firstLine="780"/>
        <w:jc w:val="both"/>
        <w:rPr>
          <w:sz w:val="28"/>
          <w:szCs w:val="28"/>
        </w:rPr>
      </w:pPr>
      <w:r w:rsidRPr="00E8792C">
        <w:rPr>
          <w:sz w:val="28"/>
          <w:szCs w:val="28"/>
          <w:lang w:eastAsia="vi-VN" w:bidi="vi-VN"/>
        </w:rPr>
        <w:t xml:space="preserve">- </w:t>
      </w:r>
      <w:r w:rsidRPr="00E8792C">
        <w:rPr>
          <w:sz w:val="28"/>
          <w:szCs w:val="28"/>
          <w:lang w:val="vi-VN" w:eastAsia="vi-VN" w:bidi="vi-VN"/>
        </w:rPr>
        <w:t>Cần nêu nối bật được những ưu điêm lớn, những nét mới, sáng tạo trong chỉ đạo, tổ chức triển khai thực hiện phong trào thi đua yêu nước và công tác khen thưởng ở đơn vị.</w:t>
      </w:r>
    </w:p>
    <w:p w14:paraId="7B10F290" w14:textId="77777777" w:rsidR="00E8792C" w:rsidRPr="00E8792C" w:rsidRDefault="00E8792C" w:rsidP="00E8792C">
      <w:pPr>
        <w:pStyle w:val="Heading10"/>
        <w:keepNext/>
        <w:keepLines/>
        <w:numPr>
          <w:ilvl w:val="0"/>
          <w:numId w:val="7"/>
        </w:numPr>
        <w:tabs>
          <w:tab w:val="left" w:pos="1177"/>
        </w:tabs>
        <w:ind w:firstLine="780"/>
        <w:jc w:val="both"/>
        <w:rPr>
          <w:sz w:val="28"/>
          <w:szCs w:val="28"/>
        </w:rPr>
      </w:pPr>
      <w:bookmarkStart w:id="2" w:name="bookmark16"/>
      <w:r w:rsidRPr="00E8792C">
        <w:rPr>
          <w:sz w:val="28"/>
          <w:szCs w:val="28"/>
          <w:lang w:val="vi-VN" w:eastAsia="vi-VN" w:bidi="vi-VN"/>
        </w:rPr>
        <w:t>Tồn tại, hạn chế:</w:t>
      </w:r>
      <w:bookmarkEnd w:id="2"/>
    </w:p>
    <w:p w14:paraId="54367406" w14:textId="77777777" w:rsidR="00E8792C" w:rsidRPr="00E8792C" w:rsidRDefault="00E8792C" w:rsidP="00E8792C">
      <w:pPr>
        <w:pStyle w:val="BodyText"/>
        <w:spacing w:line="269" w:lineRule="auto"/>
        <w:ind w:firstLine="780"/>
        <w:jc w:val="both"/>
        <w:rPr>
          <w:sz w:val="28"/>
          <w:szCs w:val="28"/>
        </w:rPr>
      </w:pPr>
      <w:r w:rsidRPr="00E8792C">
        <w:rPr>
          <w:sz w:val="28"/>
          <w:szCs w:val="28"/>
          <w:lang w:eastAsia="vi-VN" w:bidi="vi-VN"/>
        </w:rPr>
        <w:t xml:space="preserve">- </w:t>
      </w:r>
      <w:r w:rsidRPr="00E8792C">
        <w:rPr>
          <w:sz w:val="28"/>
          <w:szCs w:val="28"/>
          <w:lang w:val="vi-VN" w:eastAsia="vi-VN" w:bidi="vi-VN"/>
        </w:rPr>
        <w:t>Cần nêu rõ những hạn chế chính, thường xuyên trong những năm qua chưa khăc phục được.</w:t>
      </w:r>
    </w:p>
    <w:p w14:paraId="480DF1CE" w14:textId="77777777" w:rsidR="00E8792C" w:rsidRPr="00E8792C" w:rsidRDefault="00E8792C" w:rsidP="00E8792C">
      <w:pPr>
        <w:pStyle w:val="Heading10"/>
        <w:keepNext/>
        <w:keepLines/>
        <w:numPr>
          <w:ilvl w:val="0"/>
          <w:numId w:val="7"/>
        </w:numPr>
        <w:tabs>
          <w:tab w:val="left" w:pos="1177"/>
        </w:tabs>
        <w:ind w:firstLine="780"/>
        <w:jc w:val="both"/>
        <w:rPr>
          <w:sz w:val="28"/>
          <w:szCs w:val="28"/>
        </w:rPr>
      </w:pPr>
      <w:bookmarkStart w:id="3" w:name="bookmark18"/>
      <w:r w:rsidRPr="00E8792C">
        <w:rPr>
          <w:sz w:val="28"/>
          <w:szCs w:val="28"/>
          <w:lang w:val="vi-VN" w:eastAsia="vi-VN" w:bidi="vi-VN"/>
        </w:rPr>
        <w:t>Nguyên nhân:</w:t>
      </w:r>
      <w:bookmarkEnd w:id="3"/>
    </w:p>
    <w:p w14:paraId="5A024DB1" w14:textId="77777777" w:rsidR="00E8792C" w:rsidRPr="00E8792C" w:rsidRDefault="00E8792C" w:rsidP="00E8792C">
      <w:pPr>
        <w:pStyle w:val="BodyText"/>
        <w:ind w:firstLine="780"/>
        <w:jc w:val="both"/>
        <w:rPr>
          <w:sz w:val="28"/>
          <w:szCs w:val="28"/>
        </w:rPr>
      </w:pPr>
      <w:r w:rsidRPr="00E8792C">
        <w:rPr>
          <w:sz w:val="28"/>
          <w:szCs w:val="28"/>
          <w:lang w:val="vi-VN" w:eastAsia="vi-VN" w:bidi="vi-VN"/>
        </w:rPr>
        <w:t>Nêu được các nguyên nhân chù quan, nguyên nhân khách quan</w:t>
      </w:r>
    </w:p>
    <w:p w14:paraId="256B61AF" w14:textId="77777777" w:rsidR="00E8792C" w:rsidRPr="00E8792C" w:rsidRDefault="00E8792C" w:rsidP="00E8792C">
      <w:pPr>
        <w:pStyle w:val="BodyText"/>
        <w:numPr>
          <w:ilvl w:val="0"/>
          <w:numId w:val="7"/>
        </w:numPr>
        <w:tabs>
          <w:tab w:val="left" w:pos="1182"/>
        </w:tabs>
        <w:ind w:firstLine="780"/>
        <w:jc w:val="both"/>
        <w:rPr>
          <w:sz w:val="28"/>
          <w:szCs w:val="28"/>
        </w:rPr>
      </w:pPr>
      <w:r w:rsidRPr="00E8792C">
        <w:rPr>
          <w:b/>
          <w:bCs/>
          <w:sz w:val="28"/>
          <w:szCs w:val="28"/>
          <w:lang w:val="vi-VN" w:eastAsia="vi-VN" w:bidi="vi-VN"/>
        </w:rPr>
        <w:t>Bài học kinh nghiệm:</w:t>
      </w:r>
    </w:p>
    <w:p w14:paraId="238F3D02" w14:textId="77777777" w:rsidR="00E8792C" w:rsidRPr="00E8792C" w:rsidRDefault="00E8792C" w:rsidP="00E8792C">
      <w:pPr>
        <w:pStyle w:val="BodyText"/>
        <w:numPr>
          <w:ilvl w:val="0"/>
          <w:numId w:val="7"/>
        </w:numPr>
        <w:tabs>
          <w:tab w:val="left" w:pos="1172"/>
        </w:tabs>
        <w:ind w:firstLine="780"/>
        <w:jc w:val="both"/>
        <w:rPr>
          <w:sz w:val="28"/>
          <w:szCs w:val="28"/>
        </w:rPr>
      </w:pPr>
      <w:r w:rsidRPr="00E8792C">
        <w:rPr>
          <w:b/>
          <w:bCs/>
          <w:sz w:val="28"/>
          <w:szCs w:val="28"/>
          <w:lang w:val="vi-VN" w:eastAsia="vi-VN" w:bidi="vi-VN"/>
        </w:rPr>
        <w:t>Đề xuất kiến nghị:</w:t>
      </w:r>
    </w:p>
    <w:p w14:paraId="29152EC6" w14:textId="77777777" w:rsidR="00435609" w:rsidRDefault="00435609" w:rsidP="00435609">
      <w:pPr>
        <w:tabs>
          <w:tab w:val="left" w:pos="851"/>
          <w:tab w:val="left" w:pos="993"/>
        </w:tabs>
        <w:spacing w:before="60" w:after="60" w:line="420" w:lineRule="exact"/>
        <w:ind w:firstLine="567"/>
        <w:contextualSpacing/>
        <w:jc w:val="center"/>
        <w:rPr>
          <w:b/>
          <w:sz w:val="26"/>
          <w:szCs w:val="26"/>
        </w:rPr>
      </w:pPr>
    </w:p>
    <w:p w14:paraId="492445AD" w14:textId="1DD5AB31" w:rsidR="00E8792C" w:rsidRPr="00435609" w:rsidRDefault="00E8792C" w:rsidP="00435609">
      <w:pPr>
        <w:tabs>
          <w:tab w:val="left" w:pos="851"/>
          <w:tab w:val="left" w:pos="993"/>
        </w:tabs>
        <w:spacing w:before="60" w:after="60" w:line="420" w:lineRule="exact"/>
        <w:ind w:firstLine="567"/>
        <w:contextualSpacing/>
        <w:jc w:val="center"/>
        <w:rPr>
          <w:b/>
          <w:sz w:val="26"/>
          <w:szCs w:val="26"/>
        </w:rPr>
      </w:pPr>
      <w:r w:rsidRPr="00435609">
        <w:rPr>
          <w:b/>
          <w:sz w:val="26"/>
          <w:szCs w:val="26"/>
        </w:rPr>
        <w:t>PH</w:t>
      </w:r>
      <w:r w:rsidR="00435609" w:rsidRPr="00435609">
        <w:rPr>
          <w:b/>
          <w:sz w:val="26"/>
          <w:szCs w:val="26"/>
        </w:rPr>
        <w:t>Ầ</w:t>
      </w:r>
      <w:r w:rsidRPr="00435609">
        <w:rPr>
          <w:b/>
          <w:sz w:val="26"/>
          <w:szCs w:val="26"/>
        </w:rPr>
        <w:t>N THỨ HAI</w:t>
      </w:r>
    </w:p>
    <w:p w14:paraId="0F91D06C" w14:textId="77777777" w:rsidR="00E8792C" w:rsidRPr="00435609" w:rsidRDefault="00E8792C" w:rsidP="00435609">
      <w:pPr>
        <w:tabs>
          <w:tab w:val="left" w:pos="851"/>
          <w:tab w:val="left" w:pos="993"/>
        </w:tabs>
        <w:spacing w:before="60" w:after="60" w:line="420" w:lineRule="exact"/>
        <w:ind w:firstLine="567"/>
        <w:contextualSpacing/>
        <w:jc w:val="center"/>
        <w:rPr>
          <w:b/>
          <w:sz w:val="26"/>
          <w:szCs w:val="26"/>
        </w:rPr>
      </w:pPr>
      <w:r w:rsidRPr="00435609">
        <w:rPr>
          <w:b/>
          <w:sz w:val="26"/>
          <w:szCs w:val="26"/>
        </w:rPr>
        <w:t xml:space="preserve">PHƯƠNG HƯỚNG, NHIỆM </w:t>
      </w:r>
      <w:r w:rsidR="00EA32FD" w:rsidRPr="00435609">
        <w:rPr>
          <w:b/>
          <w:sz w:val="26"/>
          <w:szCs w:val="26"/>
        </w:rPr>
        <w:t>VỤ TRỌNG TÂM CÔNG TÁC</w:t>
      </w:r>
      <w:r w:rsidR="00EA32FD" w:rsidRPr="00435609">
        <w:rPr>
          <w:b/>
          <w:sz w:val="26"/>
          <w:szCs w:val="26"/>
        </w:rPr>
        <w:br/>
        <w:t>THI ĐU</w:t>
      </w:r>
      <w:r w:rsidRPr="00435609">
        <w:rPr>
          <w:b/>
          <w:sz w:val="26"/>
          <w:szCs w:val="26"/>
        </w:rPr>
        <w:t>A KHEN THỨỞNG GIAI ĐOẠN 2026 – 2030</w:t>
      </w:r>
    </w:p>
    <w:p w14:paraId="67F57927" w14:textId="77777777" w:rsidR="00E8792C" w:rsidRPr="00435609" w:rsidRDefault="00E8792C" w:rsidP="00E8792C">
      <w:pPr>
        <w:widowControl w:val="0"/>
        <w:spacing w:after="200" w:line="276" w:lineRule="auto"/>
        <w:ind w:firstLine="360"/>
        <w:jc w:val="both"/>
        <w:rPr>
          <w:color w:val="0E1527"/>
          <w:sz w:val="28"/>
          <w:szCs w:val="28"/>
          <w:lang w:val="vi-VN" w:eastAsia="vi-VN" w:bidi="vi-VN"/>
        </w:rPr>
      </w:pPr>
      <w:r w:rsidRPr="00435609">
        <w:rPr>
          <w:color w:val="0E1527"/>
          <w:sz w:val="28"/>
          <w:szCs w:val="28"/>
          <w:lang w:val="vi-VN" w:eastAsia="vi-VN" w:bidi="vi-VN"/>
        </w:rPr>
        <w:t xml:space="preserve">1. </w:t>
      </w:r>
      <w:r w:rsidRPr="00E8792C">
        <w:rPr>
          <w:color w:val="0E1527"/>
          <w:sz w:val="28"/>
          <w:szCs w:val="28"/>
          <w:lang w:val="vi-VN" w:eastAsia="vi-VN" w:bidi="vi-VN"/>
        </w:rPr>
        <w:t>Xác định phương hướng, mục tiêu chung của phong trào thi đua và công tác khen thưởng trong 5 năm tới</w:t>
      </w:r>
      <w:r w:rsidRPr="00435609">
        <w:rPr>
          <w:color w:val="0E1527"/>
          <w:sz w:val="28"/>
          <w:szCs w:val="28"/>
          <w:lang w:val="vi-VN" w:eastAsia="vi-VN" w:bidi="vi-VN"/>
        </w:rPr>
        <w:t xml:space="preserve"> (2026-2030);</w:t>
      </w:r>
    </w:p>
    <w:p w14:paraId="4F35B6AB" w14:textId="77777777" w:rsidR="00E8792C" w:rsidRPr="00435609" w:rsidRDefault="00E8792C" w:rsidP="00E8792C">
      <w:pPr>
        <w:widowControl w:val="0"/>
        <w:spacing w:after="200" w:line="276" w:lineRule="auto"/>
        <w:ind w:firstLine="360"/>
        <w:jc w:val="both"/>
        <w:rPr>
          <w:color w:val="0E1527"/>
          <w:sz w:val="28"/>
          <w:szCs w:val="28"/>
          <w:lang w:val="vi-VN" w:eastAsia="vi-VN" w:bidi="vi-VN"/>
        </w:rPr>
      </w:pPr>
      <w:r w:rsidRPr="00435609">
        <w:rPr>
          <w:color w:val="0E1527"/>
          <w:sz w:val="28"/>
          <w:szCs w:val="28"/>
          <w:lang w:val="vi-VN" w:eastAsia="vi-VN" w:bidi="vi-VN"/>
        </w:rPr>
        <w:t xml:space="preserve">2. </w:t>
      </w:r>
      <w:r w:rsidRPr="00E8792C">
        <w:rPr>
          <w:color w:val="0E1527"/>
          <w:sz w:val="28"/>
          <w:szCs w:val="28"/>
          <w:lang w:val="vi-VN" w:eastAsia="vi-VN" w:bidi="vi-VN"/>
        </w:rPr>
        <w:t>Những nội dung chủ yếu đấy mạnh phong trào thi đua</w:t>
      </w:r>
      <w:r>
        <w:rPr>
          <w:color w:val="0E1527"/>
          <w:sz w:val="28"/>
          <w:szCs w:val="28"/>
          <w:lang w:val="vi-VN" w:eastAsia="vi-VN" w:bidi="vi-VN"/>
        </w:rPr>
        <w:t xml:space="preserve"> và công tác khen thưởng góp phầ</w:t>
      </w:r>
      <w:r w:rsidRPr="00E8792C">
        <w:rPr>
          <w:color w:val="0E1527"/>
          <w:sz w:val="28"/>
          <w:szCs w:val="28"/>
          <w:lang w:val="vi-VN" w:eastAsia="vi-VN" w:bidi="vi-VN"/>
        </w:rPr>
        <w:t xml:space="preserve">n thực hiện nhiệm vụ và các mục tiêu, chỉ tiêu </w:t>
      </w:r>
      <w:r w:rsidR="00EA32FD">
        <w:rPr>
          <w:color w:val="0E1527"/>
          <w:sz w:val="28"/>
          <w:szCs w:val="28"/>
          <w:lang w:val="vi-VN" w:eastAsia="vi-VN" w:bidi="vi-VN"/>
        </w:rPr>
        <w:t>đơn vị;</w:t>
      </w:r>
    </w:p>
    <w:p w14:paraId="5AAD8E5E" w14:textId="77777777" w:rsidR="00E8792C" w:rsidRPr="00435609" w:rsidRDefault="00E8792C" w:rsidP="00E8792C">
      <w:pPr>
        <w:widowControl w:val="0"/>
        <w:spacing w:after="280" w:line="259" w:lineRule="auto"/>
        <w:ind w:firstLine="360"/>
        <w:jc w:val="both"/>
        <w:rPr>
          <w:color w:val="0E1527"/>
          <w:sz w:val="28"/>
          <w:szCs w:val="28"/>
          <w:lang w:val="vi-VN" w:eastAsia="vi-VN" w:bidi="vi-VN"/>
        </w:rPr>
      </w:pPr>
      <w:r w:rsidRPr="00435609">
        <w:rPr>
          <w:color w:val="0E1527"/>
          <w:sz w:val="28"/>
          <w:szCs w:val="28"/>
          <w:lang w:val="vi-VN" w:eastAsia="vi-VN" w:bidi="vi-VN"/>
        </w:rPr>
        <w:t xml:space="preserve">3. </w:t>
      </w:r>
      <w:r>
        <w:rPr>
          <w:color w:val="0E1527"/>
          <w:sz w:val="28"/>
          <w:szCs w:val="28"/>
          <w:lang w:val="vi-VN" w:eastAsia="vi-VN" w:bidi="vi-VN"/>
        </w:rPr>
        <w:t>Công tác lãnh đạo, chỉ đạo đổ</w:t>
      </w:r>
      <w:r w:rsidRPr="00E8792C">
        <w:rPr>
          <w:color w:val="0E1527"/>
          <w:sz w:val="28"/>
          <w:szCs w:val="28"/>
          <w:lang w:val="vi-VN" w:eastAsia="vi-VN" w:bidi="vi-VN"/>
        </w:rPr>
        <w:t>i mới công tác thi đua, khen thưởng và các giải pháp chủ yếu.</w:t>
      </w:r>
    </w:p>
    <w:p w14:paraId="4F3B9A98" w14:textId="77777777" w:rsidR="004438DF" w:rsidRPr="00435609" w:rsidRDefault="00E8792C" w:rsidP="00E8792C">
      <w:pPr>
        <w:tabs>
          <w:tab w:val="left" w:pos="851"/>
          <w:tab w:val="left" w:pos="993"/>
        </w:tabs>
        <w:spacing w:before="60" w:after="60" w:line="420" w:lineRule="exact"/>
        <w:jc w:val="both"/>
        <w:rPr>
          <w:sz w:val="26"/>
          <w:szCs w:val="26"/>
          <w:lang w:val="vi-VN"/>
        </w:rPr>
      </w:pPr>
      <w:r w:rsidRPr="00E8792C">
        <w:rPr>
          <w:rFonts w:ascii="Arial Unicode MS" w:eastAsia="Arial Unicode MS" w:hAnsi="Arial Unicode MS" w:cs="Arial Unicode MS"/>
          <w:color w:val="000000"/>
          <w:lang w:val="vi-VN" w:eastAsia="vi-VN" w:bidi="vi-VN"/>
        </w:rPr>
        <w:lastRenderedPageBreak/>
        <w:br w:type="page"/>
      </w:r>
    </w:p>
    <w:p w14:paraId="3CA68905" w14:textId="77777777" w:rsidR="004438DF" w:rsidRPr="00435609" w:rsidRDefault="004438DF" w:rsidP="003547FE">
      <w:pPr>
        <w:tabs>
          <w:tab w:val="left" w:pos="851"/>
          <w:tab w:val="left" w:pos="993"/>
        </w:tabs>
        <w:spacing w:before="60" w:after="60" w:line="420" w:lineRule="exact"/>
        <w:jc w:val="both"/>
        <w:rPr>
          <w:sz w:val="26"/>
          <w:szCs w:val="26"/>
          <w:lang w:val="vi-VN"/>
        </w:rPr>
      </w:pPr>
    </w:p>
    <w:p w14:paraId="5BE34973" w14:textId="77777777" w:rsidR="004438DF" w:rsidRPr="00435609" w:rsidRDefault="004438DF" w:rsidP="003547FE">
      <w:pPr>
        <w:tabs>
          <w:tab w:val="left" w:pos="851"/>
          <w:tab w:val="left" w:pos="993"/>
        </w:tabs>
        <w:spacing w:before="60" w:after="60" w:line="420" w:lineRule="exact"/>
        <w:jc w:val="both"/>
        <w:rPr>
          <w:sz w:val="26"/>
          <w:szCs w:val="26"/>
          <w:lang w:val="vi-VN"/>
        </w:rPr>
      </w:pPr>
    </w:p>
    <w:p w14:paraId="3985A94E" w14:textId="77777777" w:rsidR="004438DF" w:rsidRPr="00435609" w:rsidRDefault="004438DF" w:rsidP="003547FE">
      <w:pPr>
        <w:tabs>
          <w:tab w:val="left" w:pos="851"/>
          <w:tab w:val="left" w:pos="993"/>
        </w:tabs>
        <w:spacing w:before="60" w:after="60" w:line="420" w:lineRule="exact"/>
        <w:jc w:val="both"/>
        <w:rPr>
          <w:sz w:val="26"/>
          <w:szCs w:val="26"/>
          <w:lang w:val="vi-VN"/>
        </w:rPr>
      </w:pPr>
    </w:p>
    <w:p w14:paraId="57BCD7B9" w14:textId="77777777" w:rsidR="00F87268" w:rsidRPr="00435609" w:rsidRDefault="00637A76" w:rsidP="003547FE">
      <w:pPr>
        <w:tabs>
          <w:tab w:val="left" w:pos="851"/>
          <w:tab w:val="left" w:pos="993"/>
        </w:tabs>
        <w:spacing w:before="60" w:after="60" w:line="420" w:lineRule="exact"/>
        <w:jc w:val="both"/>
        <w:rPr>
          <w:sz w:val="26"/>
          <w:szCs w:val="26"/>
          <w:lang w:val="vi-VN"/>
        </w:rPr>
      </w:pPr>
      <w:r w:rsidRPr="00435609">
        <w:rPr>
          <w:sz w:val="26"/>
          <w:szCs w:val="26"/>
          <w:lang w:val="vi-VN"/>
        </w:rPr>
        <w:tab/>
        <w:t xml:space="preserve"> </w:t>
      </w:r>
    </w:p>
    <w:p w14:paraId="02ACAB81" w14:textId="77777777" w:rsidR="00F87268" w:rsidRPr="00435609" w:rsidRDefault="00F87268" w:rsidP="000C51D6">
      <w:pPr>
        <w:tabs>
          <w:tab w:val="left" w:pos="851"/>
          <w:tab w:val="left" w:pos="993"/>
        </w:tabs>
        <w:spacing w:before="60" w:after="60" w:line="420" w:lineRule="exact"/>
        <w:jc w:val="both"/>
        <w:rPr>
          <w:sz w:val="26"/>
          <w:szCs w:val="26"/>
          <w:lang w:val="vi-VN"/>
        </w:rPr>
      </w:pPr>
      <w:r w:rsidRPr="00435609">
        <w:rPr>
          <w:sz w:val="26"/>
          <w:szCs w:val="26"/>
          <w:lang w:val="vi-VN"/>
        </w:rPr>
        <w:tab/>
      </w:r>
    </w:p>
    <w:p w14:paraId="353C186E" w14:textId="77777777" w:rsidR="003547FE" w:rsidRPr="00435609" w:rsidRDefault="003547FE" w:rsidP="000C51D6">
      <w:pPr>
        <w:tabs>
          <w:tab w:val="left" w:pos="851"/>
          <w:tab w:val="left" w:pos="993"/>
        </w:tabs>
        <w:spacing w:before="60" w:after="60" w:line="420" w:lineRule="exact"/>
        <w:jc w:val="both"/>
        <w:rPr>
          <w:sz w:val="26"/>
          <w:szCs w:val="26"/>
          <w:lang w:val="vi-VN"/>
        </w:rPr>
      </w:pPr>
    </w:p>
    <w:p w14:paraId="5D820004" w14:textId="77777777" w:rsidR="003547FE" w:rsidRPr="00435609" w:rsidRDefault="003547FE" w:rsidP="000C51D6">
      <w:pPr>
        <w:tabs>
          <w:tab w:val="left" w:pos="851"/>
          <w:tab w:val="left" w:pos="993"/>
        </w:tabs>
        <w:spacing w:before="60" w:after="60" w:line="420" w:lineRule="exact"/>
        <w:jc w:val="both"/>
        <w:rPr>
          <w:sz w:val="26"/>
          <w:szCs w:val="26"/>
          <w:lang w:val="vi-VN"/>
        </w:rPr>
      </w:pPr>
    </w:p>
    <w:p w14:paraId="5F4771F1" w14:textId="77777777" w:rsidR="003547FE" w:rsidRPr="00435609" w:rsidRDefault="003547FE" w:rsidP="000C51D6">
      <w:pPr>
        <w:tabs>
          <w:tab w:val="left" w:pos="851"/>
          <w:tab w:val="left" w:pos="993"/>
        </w:tabs>
        <w:spacing w:before="60" w:after="60" w:line="420" w:lineRule="exact"/>
        <w:jc w:val="both"/>
        <w:rPr>
          <w:sz w:val="26"/>
          <w:szCs w:val="26"/>
          <w:lang w:val="vi-VN"/>
        </w:rPr>
      </w:pPr>
    </w:p>
    <w:p w14:paraId="52EB183F" w14:textId="77777777" w:rsidR="003547FE" w:rsidRPr="00435609" w:rsidRDefault="003547FE" w:rsidP="000C51D6">
      <w:pPr>
        <w:tabs>
          <w:tab w:val="left" w:pos="851"/>
          <w:tab w:val="left" w:pos="993"/>
        </w:tabs>
        <w:spacing w:before="60" w:after="60" w:line="420" w:lineRule="exact"/>
        <w:jc w:val="both"/>
        <w:rPr>
          <w:sz w:val="26"/>
          <w:szCs w:val="26"/>
          <w:lang w:val="vi-VN"/>
        </w:rPr>
      </w:pPr>
    </w:p>
    <w:p w14:paraId="200DFFBB" w14:textId="77777777" w:rsidR="000C51D6" w:rsidRPr="00435609" w:rsidRDefault="000C51D6" w:rsidP="00110B74">
      <w:pPr>
        <w:tabs>
          <w:tab w:val="left" w:pos="851"/>
          <w:tab w:val="left" w:pos="993"/>
        </w:tabs>
        <w:spacing w:before="60" w:after="60" w:line="420" w:lineRule="exact"/>
        <w:ind w:firstLine="567"/>
        <w:contextualSpacing/>
        <w:jc w:val="both"/>
        <w:rPr>
          <w:sz w:val="26"/>
          <w:szCs w:val="26"/>
          <w:lang w:val="vi-VN"/>
        </w:rPr>
      </w:pPr>
    </w:p>
    <w:p w14:paraId="5418706A" w14:textId="77777777" w:rsidR="000C51D6" w:rsidRPr="00435609" w:rsidRDefault="000C51D6" w:rsidP="00110B74">
      <w:pPr>
        <w:tabs>
          <w:tab w:val="left" w:pos="851"/>
          <w:tab w:val="left" w:pos="993"/>
        </w:tabs>
        <w:spacing w:before="60" w:after="60" w:line="420" w:lineRule="exact"/>
        <w:ind w:firstLine="567"/>
        <w:contextualSpacing/>
        <w:jc w:val="both"/>
        <w:rPr>
          <w:sz w:val="26"/>
          <w:szCs w:val="26"/>
          <w:lang w:val="vi-VN"/>
        </w:rPr>
      </w:pPr>
    </w:p>
    <w:p w14:paraId="489D7749" w14:textId="77777777" w:rsidR="00B07621" w:rsidRPr="00435609" w:rsidRDefault="00B07621" w:rsidP="00110B74">
      <w:pPr>
        <w:tabs>
          <w:tab w:val="left" w:pos="851"/>
          <w:tab w:val="left" w:pos="993"/>
        </w:tabs>
        <w:spacing w:before="60" w:after="60" w:line="420" w:lineRule="exact"/>
        <w:ind w:firstLine="567"/>
        <w:contextualSpacing/>
        <w:jc w:val="both"/>
        <w:rPr>
          <w:sz w:val="26"/>
          <w:szCs w:val="26"/>
          <w:lang w:val="vi-VN"/>
        </w:rPr>
      </w:pPr>
      <w:r w:rsidRPr="00435609">
        <w:rPr>
          <w:sz w:val="26"/>
          <w:szCs w:val="26"/>
          <w:lang w:val="vi-VN"/>
        </w:rPr>
        <w:t>Thực hiện Văn bản số 5839/BNN-TCCB ngày 9/8/2024 của Bộ Nông nghiệp và Phát triển nông thôn về việc báo cáo phục vụ Hội nghị đào tạo năm 2024, Học viện Nông nghiệp Việt Nam xin báo cáo các nội dung như sau:</w:t>
      </w:r>
    </w:p>
    <w:p w14:paraId="5BF6111F" w14:textId="77777777" w:rsidR="00B07621" w:rsidRPr="00435609" w:rsidRDefault="00B07621" w:rsidP="00110B74">
      <w:pPr>
        <w:tabs>
          <w:tab w:val="left" w:pos="851"/>
          <w:tab w:val="left" w:pos="993"/>
        </w:tabs>
        <w:spacing w:before="60" w:after="60" w:line="420" w:lineRule="exact"/>
        <w:ind w:firstLine="567"/>
        <w:contextualSpacing/>
        <w:jc w:val="both"/>
        <w:rPr>
          <w:b/>
          <w:sz w:val="26"/>
          <w:szCs w:val="26"/>
          <w:lang w:val="vi-VN"/>
        </w:rPr>
      </w:pPr>
      <w:r w:rsidRPr="00435609">
        <w:rPr>
          <w:b/>
          <w:sz w:val="26"/>
          <w:szCs w:val="26"/>
          <w:lang w:val="vi-VN"/>
        </w:rPr>
        <w:t>1. Kết quả thực hiện các nhiệm vụ đào tạo giai đoạn năm 2022-2024 và kế hoạch giai đoạn 2025-2027</w:t>
      </w:r>
    </w:p>
    <w:p w14:paraId="09FBB7CB" w14:textId="77777777" w:rsidR="00110B74" w:rsidRPr="00435609" w:rsidRDefault="00110B74" w:rsidP="008C1B4A">
      <w:pPr>
        <w:pStyle w:val="NormalWeb"/>
        <w:numPr>
          <w:ilvl w:val="0"/>
          <w:numId w:val="2"/>
        </w:numPr>
        <w:tabs>
          <w:tab w:val="left" w:pos="851"/>
          <w:tab w:val="left" w:pos="993"/>
        </w:tabs>
        <w:spacing w:before="60" w:beforeAutospacing="0" w:after="60" w:afterAutospacing="0" w:line="420" w:lineRule="exact"/>
        <w:ind w:left="0" w:firstLine="567"/>
        <w:contextualSpacing/>
        <w:jc w:val="both"/>
        <w:rPr>
          <w:b/>
          <w:bCs/>
          <w:i/>
          <w:color w:val="000000" w:themeColor="text1"/>
          <w:sz w:val="26"/>
          <w:szCs w:val="26"/>
          <w:lang w:val="vi-VN"/>
        </w:rPr>
      </w:pPr>
      <w:r w:rsidRPr="00435609">
        <w:rPr>
          <w:b/>
          <w:bCs/>
          <w:i/>
          <w:color w:val="000000" w:themeColor="text1"/>
          <w:sz w:val="26"/>
          <w:szCs w:val="26"/>
          <w:lang w:val="vi-VN"/>
        </w:rPr>
        <w:t xml:space="preserve">Kết quả tuyển sinh, quy mô đào tạo các cấp trình độ; Cơ cấu học sinh, sinh viên theo ngành, nghề lĩnh và lĩnh vực đào tạo; </w:t>
      </w:r>
    </w:p>
    <w:p w14:paraId="18C69EF2" w14:textId="77777777" w:rsidR="00110B74" w:rsidRPr="00E56AEB" w:rsidRDefault="00110B74" w:rsidP="00110B74">
      <w:pPr>
        <w:widowControl w:val="0"/>
        <w:tabs>
          <w:tab w:val="left" w:pos="993"/>
        </w:tabs>
        <w:spacing w:before="60" w:after="60" w:line="420" w:lineRule="exact"/>
        <w:ind w:firstLine="567"/>
        <w:contextualSpacing/>
        <w:jc w:val="both"/>
        <w:rPr>
          <w:color w:val="000000" w:themeColor="text1"/>
          <w:sz w:val="26"/>
          <w:szCs w:val="26"/>
          <w:shd w:val="clear" w:color="auto" w:fill="FFFFFF" w:themeFill="background1"/>
          <w:lang w:val="vi-VN"/>
        </w:rPr>
      </w:pPr>
      <w:r w:rsidRPr="00E56AEB">
        <w:rPr>
          <w:color w:val="000000" w:themeColor="text1"/>
          <w:sz w:val="26"/>
          <w:szCs w:val="26"/>
          <w:shd w:val="clear" w:color="auto" w:fill="FFFFFF" w:themeFill="background1"/>
          <w:lang w:val="vi-VN"/>
        </w:rPr>
        <w:t>Học viện đang tổ chức tuyển sinh và đào tạo 43 ngành đào tạo trình độ đại học chính quy và vừa làm vừa học, 1</w:t>
      </w:r>
      <w:r w:rsidRPr="00435609">
        <w:rPr>
          <w:color w:val="000000" w:themeColor="text1"/>
          <w:sz w:val="26"/>
          <w:szCs w:val="26"/>
          <w:shd w:val="clear" w:color="auto" w:fill="FFFFFF" w:themeFill="background1"/>
          <w:lang w:val="vi-VN"/>
        </w:rPr>
        <w:t>6</w:t>
      </w:r>
      <w:r w:rsidRPr="00E56AEB">
        <w:rPr>
          <w:color w:val="000000" w:themeColor="text1"/>
          <w:sz w:val="26"/>
          <w:szCs w:val="26"/>
          <w:shd w:val="clear" w:color="auto" w:fill="FFFFFF" w:themeFill="background1"/>
          <w:lang w:val="vi-VN"/>
        </w:rPr>
        <w:t xml:space="preserve"> ngành đào tạo trình độ thạc sĩ và 15 ngành đào tạo trình độ tiến sĩ. Bậc đại học có 0</w:t>
      </w:r>
      <w:r w:rsidRPr="00435609">
        <w:rPr>
          <w:color w:val="000000" w:themeColor="text1"/>
          <w:sz w:val="26"/>
          <w:szCs w:val="26"/>
          <w:shd w:val="clear" w:color="auto" w:fill="FFFFFF" w:themeFill="background1"/>
          <w:lang w:val="vi-VN"/>
        </w:rPr>
        <w:t xml:space="preserve">5 </w:t>
      </w:r>
      <w:r w:rsidRPr="00E56AEB">
        <w:rPr>
          <w:color w:val="000000" w:themeColor="text1"/>
          <w:sz w:val="26"/>
          <w:szCs w:val="26"/>
          <w:shd w:val="clear" w:color="auto" w:fill="FFFFFF" w:themeFill="background1"/>
          <w:lang w:val="vi-VN"/>
        </w:rPr>
        <w:t>chương trình đào tạo tiên tiến, chất lượng cao, dạy bằng tiếng Anh</w:t>
      </w:r>
      <w:r w:rsidRPr="00435609">
        <w:rPr>
          <w:color w:val="000000" w:themeColor="text1"/>
          <w:sz w:val="26"/>
          <w:szCs w:val="26"/>
          <w:shd w:val="clear" w:color="auto" w:fill="FFFFFF" w:themeFill="background1"/>
          <w:lang w:val="vi-VN"/>
        </w:rPr>
        <w:t xml:space="preserve"> và 1 chương trình liên kết đào tạo quốc tế (Chương trình liên kết 1,5 + 1,5 với Đại học Massey New Zealand ngành Kinh tế tài chính)</w:t>
      </w:r>
      <w:r w:rsidRPr="00E56AEB">
        <w:rPr>
          <w:color w:val="000000" w:themeColor="text1"/>
          <w:sz w:val="26"/>
          <w:szCs w:val="26"/>
          <w:shd w:val="clear" w:color="auto" w:fill="FFFFFF" w:themeFill="background1"/>
          <w:lang w:val="vi-VN"/>
        </w:rPr>
        <w:t xml:space="preserve">. Các chương trình đào tạo đại học được xây dựng linh hoạt, đa dạng hóa các loại hình và phương thức đào tạo nhằm đáp ứng nhu cầu xã hội và điều kiện học tập khác nhau của người học. Phương pháp dạy và học luôn được đổi mới nhằm nâng cao chất lượng đào tạo phù hợp với chuẩn đầu ra và giúp người học có khả năng tự học suốt đời; Học viện chủ trương gắn đào tạo với nghiên cứu khoa học và phục vụ xã hội; Xác định nhu cầu xã hội về ngành nghề đào tạo, yêu cầu chất lượng người tốt nghiệp, lấy ý kiến phản hồi về nội dung và phương pháp đào tạo; và đẩy mạnh hội nhập quốc tế về đào tạo, tăng cường và mở rộng đào tạo bằng tiếng nước ngoài, mở rộng hợp tác với các đối tác trong và ngoài nước để huy động tối đa nguồn lực phục vụ đào tạo. </w:t>
      </w:r>
    </w:p>
    <w:p w14:paraId="16CC663C" w14:textId="77777777" w:rsidR="00110B74" w:rsidRPr="00E56AEB" w:rsidRDefault="00110B74" w:rsidP="00110B74">
      <w:pPr>
        <w:pStyle w:val="NormalWeb"/>
        <w:shd w:val="clear" w:color="auto" w:fill="FFFFFF"/>
        <w:tabs>
          <w:tab w:val="left" w:pos="709"/>
          <w:tab w:val="left" w:pos="851"/>
          <w:tab w:val="left" w:pos="993"/>
        </w:tabs>
        <w:spacing w:before="60" w:beforeAutospacing="0" w:after="60" w:afterAutospacing="0" w:line="420" w:lineRule="exact"/>
        <w:ind w:firstLine="567"/>
        <w:contextualSpacing/>
        <w:jc w:val="both"/>
        <w:rPr>
          <w:sz w:val="26"/>
          <w:szCs w:val="26"/>
          <w:shd w:val="clear" w:color="auto" w:fill="FFFFFF"/>
          <w:lang w:val="vi-VN"/>
        </w:rPr>
      </w:pPr>
      <w:r w:rsidRPr="00E56AEB">
        <w:rPr>
          <w:sz w:val="26"/>
          <w:szCs w:val="26"/>
          <w:shd w:val="clear" w:color="auto" w:fill="FFFFFF"/>
          <w:lang w:val="vi-VN"/>
        </w:rPr>
        <w:lastRenderedPageBreak/>
        <w:t>Học viện đã chủ động trong việc xác định chỉ tiêu tuyển sinh các trình độ đào tạo theo quy định hiện hành và tổ chức tuyển sinh, đảm bảo tính công khai, minh bạch. Nhằm đáp ứng nhu cầu học tập của người học và tuyển được sinh viên có học lực giỏi, ngoài phương thức xét tuyển theo kết quả thi  tốt nghiệp THPT theo hệ thống xét tuyển chung của Bộ Giáo dục và Đào tạo, Học viện thực hiện xét tuyển đại học với phương thức xét tuyển thẳng và xét tuyển dựa vào kết quả học tập THPT.</w:t>
      </w:r>
    </w:p>
    <w:p w14:paraId="3A7AC7BD" w14:textId="77777777" w:rsidR="00110B74" w:rsidRPr="00E56AEB" w:rsidRDefault="00110B74" w:rsidP="00110B74">
      <w:pPr>
        <w:pStyle w:val="NormalWeb"/>
        <w:shd w:val="clear" w:color="auto" w:fill="FFFFFF"/>
        <w:tabs>
          <w:tab w:val="left" w:pos="709"/>
          <w:tab w:val="left" w:pos="851"/>
          <w:tab w:val="left" w:pos="993"/>
        </w:tabs>
        <w:spacing w:before="60" w:beforeAutospacing="0" w:after="60" w:afterAutospacing="0" w:line="420" w:lineRule="exact"/>
        <w:ind w:firstLine="567"/>
        <w:contextualSpacing/>
        <w:jc w:val="both"/>
        <w:rPr>
          <w:sz w:val="26"/>
          <w:szCs w:val="26"/>
          <w:shd w:val="clear" w:color="auto" w:fill="FFFFFF"/>
          <w:lang w:val="vi-VN"/>
        </w:rPr>
      </w:pPr>
      <w:r w:rsidRPr="00E56AEB">
        <w:rPr>
          <w:sz w:val="26"/>
          <w:szCs w:val="26"/>
          <w:shd w:val="clear" w:color="auto" w:fill="FFFFFF"/>
          <w:lang w:val="vi-VN"/>
        </w:rPr>
        <w:t xml:space="preserve">Chủ động trong công tác tuyển sinh, nghiên cứu và bám sát nhu cầu về học tập của người học ở các bậc hệ, Học viện tổ chức  tuyển sinh nhiều đợt/năm: trình đại học (3 </w:t>
      </w:r>
      <w:r w:rsidRPr="00435609">
        <w:rPr>
          <w:sz w:val="26"/>
          <w:szCs w:val="26"/>
          <w:shd w:val="clear" w:color="auto" w:fill="FFFFFF"/>
          <w:lang w:val="vi-VN"/>
        </w:rPr>
        <w:t xml:space="preserve">– 4 </w:t>
      </w:r>
      <w:r w:rsidRPr="00E56AEB">
        <w:rPr>
          <w:sz w:val="26"/>
          <w:szCs w:val="26"/>
          <w:shd w:val="clear" w:color="auto" w:fill="FFFFFF"/>
          <w:lang w:val="vi-VN"/>
        </w:rPr>
        <w:t>đợt/năm), trình độ thạc sĩ (</w:t>
      </w:r>
      <w:r w:rsidRPr="00435609">
        <w:rPr>
          <w:sz w:val="26"/>
          <w:szCs w:val="26"/>
          <w:shd w:val="clear" w:color="auto" w:fill="FFFFFF"/>
          <w:lang w:val="vi-VN"/>
        </w:rPr>
        <w:t>4</w:t>
      </w:r>
      <w:r w:rsidRPr="00E56AEB">
        <w:rPr>
          <w:sz w:val="26"/>
          <w:szCs w:val="26"/>
          <w:shd w:val="clear" w:color="auto" w:fill="FFFFFF"/>
          <w:lang w:val="vi-VN"/>
        </w:rPr>
        <w:t xml:space="preserve"> đợt/năm), trình độ tiến sĩ (4 đợt/năm).</w:t>
      </w:r>
    </w:p>
    <w:p w14:paraId="134D837E" w14:textId="77777777" w:rsidR="00110B74" w:rsidRPr="00435609" w:rsidRDefault="00110B74" w:rsidP="008C1B4A">
      <w:pPr>
        <w:pStyle w:val="NormalWeb"/>
        <w:tabs>
          <w:tab w:val="left" w:pos="993"/>
        </w:tabs>
        <w:spacing w:before="60" w:beforeAutospacing="0" w:after="60" w:afterAutospacing="0" w:line="420" w:lineRule="exact"/>
        <w:ind w:firstLine="567"/>
        <w:contextualSpacing/>
        <w:jc w:val="both"/>
        <w:rPr>
          <w:b/>
          <w:bCs/>
          <w:color w:val="000000" w:themeColor="text1"/>
          <w:sz w:val="26"/>
          <w:szCs w:val="26"/>
          <w:lang w:val="vi-VN"/>
        </w:rPr>
      </w:pPr>
      <w:r w:rsidRPr="00435609">
        <w:rPr>
          <w:sz w:val="26"/>
          <w:szCs w:val="26"/>
          <w:shd w:val="clear" w:color="auto" w:fill="FFFFFF"/>
          <w:lang w:val="vi-VN"/>
        </w:rPr>
        <w:t xml:space="preserve">Tính đến tháng 8 năm 2024, Học viện đang quản lý và đào tạo 25140 sinh viên đại học chính quy, 641 học viên cao học và 94 nghiên cứu sinh. Kết quả </w:t>
      </w:r>
      <w:r w:rsidR="002920E8" w:rsidRPr="00435609">
        <w:rPr>
          <w:sz w:val="26"/>
          <w:szCs w:val="26"/>
          <w:shd w:val="clear" w:color="auto" w:fill="FFFFFF"/>
          <w:lang w:val="vi-VN"/>
        </w:rPr>
        <w:t>tuyển sinh 6 tháng đầu năm 2024</w:t>
      </w:r>
      <w:r w:rsidRPr="00435609">
        <w:rPr>
          <w:sz w:val="26"/>
          <w:szCs w:val="26"/>
          <w:shd w:val="clear" w:color="auto" w:fill="FFFFFF"/>
          <w:lang w:val="vi-VN"/>
        </w:rPr>
        <w:t>: 94 học viên cao học và 33 nghiên cứu sinh. Đối với tuyển sinh đại học chưa kết thúc kỳ tuyển sinh. Dự kiến số lượng tuyển sinh bậc đào tạo đại học khoảng 6000-6500 sinh viên.</w:t>
      </w:r>
    </w:p>
    <w:p w14:paraId="1FBA267B" w14:textId="77777777" w:rsidR="00C46CF0" w:rsidRPr="00435609" w:rsidRDefault="00110B74" w:rsidP="003E55D8">
      <w:pPr>
        <w:pStyle w:val="NormalWeb"/>
        <w:numPr>
          <w:ilvl w:val="0"/>
          <w:numId w:val="2"/>
        </w:numPr>
        <w:tabs>
          <w:tab w:val="left" w:pos="709"/>
          <w:tab w:val="left" w:pos="851"/>
          <w:tab w:val="left" w:pos="993"/>
        </w:tabs>
        <w:spacing w:before="60" w:beforeAutospacing="0" w:after="60" w:afterAutospacing="0" w:line="420" w:lineRule="exact"/>
        <w:ind w:left="0" w:firstLine="567"/>
        <w:contextualSpacing/>
        <w:jc w:val="both"/>
        <w:rPr>
          <w:sz w:val="26"/>
          <w:szCs w:val="26"/>
          <w:lang w:val="vi-VN"/>
        </w:rPr>
      </w:pPr>
      <w:r w:rsidRPr="00435609">
        <w:rPr>
          <w:b/>
          <w:bCs/>
          <w:i/>
          <w:color w:val="000000" w:themeColor="text1"/>
          <w:sz w:val="26"/>
          <w:szCs w:val="26"/>
          <w:lang w:val="vi-VN"/>
        </w:rPr>
        <w:t xml:space="preserve">Công tác đổi mới và phát triển chương trình, giáo trình đào tạo; </w:t>
      </w:r>
    </w:p>
    <w:p w14:paraId="43630EE1" w14:textId="77777777" w:rsidR="00110B74" w:rsidRPr="00435609" w:rsidRDefault="00C46CF0" w:rsidP="00C55E01">
      <w:pPr>
        <w:pStyle w:val="NormalWeb"/>
        <w:tabs>
          <w:tab w:val="left" w:pos="709"/>
          <w:tab w:val="left" w:pos="851"/>
          <w:tab w:val="left" w:pos="993"/>
        </w:tabs>
        <w:spacing w:before="60" w:beforeAutospacing="0" w:after="60" w:afterAutospacing="0" w:line="420" w:lineRule="exact"/>
        <w:contextualSpacing/>
        <w:jc w:val="both"/>
        <w:rPr>
          <w:sz w:val="26"/>
          <w:szCs w:val="26"/>
          <w:lang w:val="vi-VN"/>
        </w:rPr>
      </w:pPr>
      <w:r w:rsidRPr="00435609">
        <w:rPr>
          <w:sz w:val="26"/>
          <w:szCs w:val="26"/>
          <w:lang w:val="vi-VN"/>
        </w:rPr>
        <w:tab/>
      </w:r>
      <w:r w:rsidR="00110B74" w:rsidRPr="00435609">
        <w:rPr>
          <w:sz w:val="26"/>
          <w:szCs w:val="26"/>
          <w:lang w:val="vi-VN"/>
        </w:rPr>
        <w:t>Thực hiện Đề án nâng cao chất lượng đào tạo của Học viện nhằm tăng cường kiến thức và sự tiếp cận thực tế cho sinh viên, Năm 2017, 2018 Học viện thực hiện chỉnh sửa chương trình đào tạo trình độ đại học trong đó tăng cường thời lượng thực hành của các học phần và tăng số tín chỉ Thực tập nghề nghi</w:t>
      </w:r>
      <w:r w:rsidR="00E33A21" w:rsidRPr="00435609">
        <w:rPr>
          <w:sz w:val="26"/>
          <w:szCs w:val="26"/>
          <w:lang w:val="vi-VN"/>
        </w:rPr>
        <w:t>ệp/Rèn nghề/Thực tập giáo trình</w:t>
      </w:r>
      <w:r w:rsidR="00110B74" w:rsidRPr="00435609">
        <w:rPr>
          <w:sz w:val="26"/>
          <w:szCs w:val="26"/>
          <w:lang w:val="vi-VN"/>
        </w:rPr>
        <w:t>…</w:t>
      </w:r>
      <w:r w:rsidR="002920E8" w:rsidRPr="00435609">
        <w:rPr>
          <w:sz w:val="26"/>
          <w:szCs w:val="26"/>
          <w:lang w:val="vi-VN"/>
        </w:rPr>
        <w:t xml:space="preserve"> </w:t>
      </w:r>
      <w:r w:rsidR="00110B74" w:rsidRPr="00435609">
        <w:rPr>
          <w:sz w:val="26"/>
          <w:szCs w:val="26"/>
          <w:lang w:val="vi-VN"/>
        </w:rPr>
        <w:t>(thực hiện tại địa phương, doanh nghiệp). Việc cải tiến Chương trình đào tạo được thực hiện theo đúng Thông tư 07/2015/TT-BGDĐT và Quy định mở mới và điều chỉnh chương trình đào tạo của Học viện nông nghiệp Việt Nam. Chương trình đào tạo được ban hành theo Quyết định số 1748/QĐ-HVN ngày 02/06/2017 và Quyết định số 1443/QĐ-HVN ngày 18/05/2018.</w:t>
      </w:r>
    </w:p>
    <w:p w14:paraId="4A3EB18B" w14:textId="77777777" w:rsidR="00110B74" w:rsidRPr="00435609" w:rsidRDefault="00110B74" w:rsidP="00110B74">
      <w:pPr>
        <w:tabs>
          <w:tab w:val="left" w:pos="993"/>
        </w:tabs>
        <w:spacing w:before="60" w:after="60" w:line="420" w:lineRule="exact"/>
        <w:ind w:firstLine="567"/>
        <w:contextualSpacing/>
        <w:jc w:val="both"/>
        <w:rPr>
          <w:sz w:val="26"/>
          <w:szCs w:val="26"/>
          <w:lang w:val="vi-VN"/>
        </w:rPr>
      </w:pPr>
      <w:r w:rsidRPr="00435609">
        <w:rPr>
          <w:sz w:val="26"/>
          <w:szCs w:val="26"/>
          <w:lang w:val="vi-VN"/>
        </w:rPr>
        <w:t>Ngoài việc cải tiến và chỉnh sửa chương trình đào tạo, hàng năm chương trình đào tạo được rà soát và cập nhật: (1) tiến trình đào tạo; (2) cập nhật kết quả nghiên cứu khoa học, bài báo có liện quan đến nội dung giảng dạy của học phần (3) Phương pháp đánh giá: rà soát tính khả thi của các rubric đánh giá, cập nhật phương pháp đánh giá phù hợp với năng lực người học. Các chương trình đào tạo trình độ đại học của Học viện đáp ứng các yêu cầu theo Khung trình độ quốc gia Việt Nam, chuẩn chương trình đào tạo các trình độ của giáo dục đại học theo quy định tại Thông tư số 17/2021/TT-BGDĐT.</w:t>
      </w:r>
    </w:p>
    <w:p w14:paraId="622DF93C" w14:textId="77777777" w:rsidR="00110B74" w:rsidRPr="00435609" w:rsidRDefault="00C55E01" w:rsidP="00C55E01">
      <w:pPr>
        <w:tabs>
          <w:tab w:val="left" w:pos="993"/>
        </w:tabs>
        <w:spacing w:before="60" w:after="60" w:line="420" w:lineRule="exact"/>
        <w:contextualSpacing/>
        <w:jc w:val="both"/>
        <w:rPr>
          <w:sz w:val="26"/>
          <w:szCs w:val="26"/>
          <w:lang w:val="vi-VN"/>
        </w:rPr>
      </w:pPr>
      <w:r w:rsidRPr="00435609">
        <w:rPr>
          <w:sz w:val="26"/>
          <w:szCs w:val="26"/>
          <w:lang w:val="vi-VN"/>
        </w:rPr>
        <w:tab/>
      </w:r>
      <w:r w:rsidR="00110B74" w:rsidRPr="00435609">
        <w:rPr>
          <w:sz w:val="26"/>
          <w:szCs w:val="26"/>
          <w:lang w:val="vi-VN"/>
        </w:rPr>
        <w:t xml:space="preserve">Năm 2023, Học viện đã xây dựng và thực hiện Đề án Đổi mới tổ chức hoạt động đào tạo đại học. Với mục tiêu nâng cao chất lượng giáo dục và đáp ứng nhu cầu thực tế của xã hội, Học viện Nông nghiệp Việt Nam giao nhiệm vụ cho Tổ công tác xây </w:t>
      </w:r>
      <w:r w:rsidR="00110B74" w:rsidRPr="00435609">
        <w:rPr>
          <w:sz w:val="26"/>
          <w:szCs w:val="26"/>
          <w:lang w:val="vi-VN"/>
        </w:rPr>
        <w:lastRenderedPageBreak/>
        <w:t>dựng Đề án Đổi mới tổ chức hoạt động đào tạo đại học. Năm 2020 Học viện mở mới 03 ngành đào tạo trình độ đ</w:t>
      </w:r>
      <w:r w:rsidRPr="00435609">
        <w:rPr>
          <w:sz w:val="26"/>
          <w:szCs w:val="26"/>
          <w:lang w:val="vi-VN"/>
        </w:rPr>
        <w:t>ại học: (1) Công nghệ sinh dược</w:t>
      </w:r>
      <w:r w:rsidR="00110B74" w:rsidRPr="00435609">
        <w:rPr>
          <w:sz w:val="26"/>
          <w:szCs w:val="26"/>
          <w:lang w:val="vi-VN"/>
        </w:rPr>
        <w:t xml:space="preserve">, (2) Kinh tế số , Khoa </w:t>
      </w:r>
      <w:r w:rsidRPr="00435609">
        <w:rPr>
          <w:sz w:val="26"/>
          <w:szCs w:val="26"/>
          <w:lang w:val="vi-VN"/>
        </w:rPr>
        <w:t xml:space="preserve">học dữ liệu và trí tuệ nhân tạo; </w:t>
      </w:r>
      <w:r w:rsidR="00110B74" w:rsidRPr="00435609">
        <w:rPr>
          <w:sz w:val="26"/>
          <w:szCs w:val="26"/>
          <w:lang w:val="vi-VN"/>
        </w:rPr>
        <w:t>Năm 2024, Học viện được Bộ Giáo dục và Đại học ban hành Quyết định mở mới và đào tạo ngành Nuôi trồng thủy sản trình độ tiến sĩ và bắt đầu tuyển sinh từ đợt tháng 9 năm 2024.</w:t>
      </w:r>
    </w:p>
    <w:p w14:paraId="18BF678A" w14:textId="77777777" w:rsidR="00110B74" w:rsidRPr="00435609" w:rsidRDefault="00110B74" w:rsidP="00110B74">
      <w:pPr>
        <w:tabs>
          <w:tab w:val="left" w:pos="993"/>
        </w:tabs>
        <w:spacing w:before="60" w:after="60" w:line="420" w:lineRule="exact"/>
        <w:ind w:firstLine="567"/>
        <w:contextualSpacing/>
        <w:jc w:val="both"/>
        <w:rPr>
          <w:sz w:val="26"/>
          <w:szCs w:val="26"/>
          <w:lang w:val="vi-VN"/>
        </w:rPr>
      </w:pPr>
      <w:r w:rsidRPr="00435609">
        <w:rPr>
          <w:sz w:val="26"/>
          <w:szCs w:val="26"/>
          <w:lang w:val="vi-VN"/>
        </w:rPr>
        <w:t>Kết quả xuất bản từ năm 2020 đến hết tháng 8 năm 2024: Năm 2020 xuất bản 28 giáo trình và sách tham khảo; Năm 2021 xuất bản 57 giáo trình và sách tham khảo; Năm 2022 xuất bản 37 giáo trình và sách tham khảo; Năm 2023 xuất bản 36 giáo trình và sách tham khảo. 8 tháng đầu năm 2024 xuất bản 32 cuốn giáo trình, TLTK và TLCK.</w:t>
      </w:r>
    </w:p>
    <w:p w14:paraId="01F3CC76" w14:textId="77777777" w:rsidR="00492720" w:rsidRPr="00435609" w:rsidRDefault="00110B74" w:rsidP="00110B74">
      <w:pPr>
        <w:tabs>
          <w:tab w:val="left" w:pos="993"/>
        </w:tabs>
        <w:spacing w:before="60" w:after="60" w:line="420" w:lineRule="exact"/>
        <w:ind w:firstLine="567"/>
        <w:contextualSpacing/>
        <w:jc w:val="both"/>
        <w:rPr>
          <w:sz w:val="26"/>
          <w:szCs w:val="26"/>
          <w:lang w:val="vi-VN"/>
        </w:rPr>
      </w:pPr>
      <w:r w:rsidRPr="00435609">
        <w:rPr>
          <w:sz w:val="26"/>
          <w:szCs w:val="26"/>
          <w:lang w:val="vi-VN"/>
        </w:rPr>
        <w:t>Dự kiến giai đoạn 2024 – 2025 Học viện mở mới các ngành đào tạo như Du lịch, Quản lý nhà nước, Ngôn ngữ tiếng Trung trình độ đại học.</w:t>
      </w:r>
    </w:p>
    <w:p w14:paraId="00F78E9B" w14:textId="77777777" w:rsidR="00B07621" w:rsidRPr="00435609" w:rsidRDefault="00B07621" w:rsidP="00E22F1D">
      <w:pPr>
        <w:spacing w:before="60" w:after="60" w:line="420" w:lineRule="exact"/>
        <w:ind w:firstLine="720"/>
        <w:contextualSpacing/>
        <w:rPr>
          <w:b/>
          <w:i/>
          <w:sz w:val="26"/>
          <w:szCs w:val="26"/>
          <w:lang w:val="vi-VN"/>
        </w:rPr>
      </w:pPr>
      <w:r w:rsidRPr="00435609">
        <w:rPr>
          <w:b/>
          <w:i/>
          <w:sz w:val="26"/>
          <w:szCs w:val="26"/>
          <w:lang w:val="vi-VN"/>
        </w:rPr>
        <w:t>c) Công tác đào tạo, bồi dưỡng phát triển đội ngũ giảng viên, nhà giáo giáo dục nghề nghiệp và cán b</w:t>
      </w:r>
      <w:r w:rsidR="00492720" w:rsidRPr="00435609">
        <w:rPr>
          <w:b/>
          <w:i/>
          <w:sz w:val="26"/>
          <w:szCs w:val="26"/>
          <w:lang w:val="vi-VN"/>
        </w:rPr>
        <w:t xml:space="preserve">ộ quản lý </w:t>
      </w:r>
    </w:p>
    <w:p w14:paraId="34268B95" w14:textId="77777777" w:rsidR="00B07621" w:rsidRPr="00435609" w:rsidRDefault="00B07621" w:rsidP="00E22F1D">
      <w:pPr>
        <w:spacing w:before="60" w:after="60" w:line="420" w:lineRule="exact"/>
        <w:ind w:firstLine="720"/>
        <w:contextualSpacing/>
        <w:jc w:val="both"/>
        <w:rPr>
          <w:spacing w:val="4"/>
          <w:sz w:val="26"/>
          <w:szCs w:val="26"/>
          <w:lang w:val="vi-VN"/>
        </w:rPr>
      </w:pPr>
      <w:r w:rsidRPr="00435609">
        <w:rPr>
          <w:sz w:val="26"/>
          <w:szCs w:val="26"/>
          <w:lang w:val="vi-VN"/>
        </w:rPr>
        <w:t>C</w:t>
      </w:r>
      <w:r w:rsidRPr="00E56AEB">
        <w:rPr>
          <w:sz w:val="26"/>
          <w:szCs w:val="26"/>
          <w:lang w:val="vi-VN"/>
        </w:rPr>
        <w:t xml:space="preserve">ông tác đào tạo, bồi dưỡng, phát triển đội ngũ giảng viên và </w:t>
      </w:r>
      <w:r w:rsidRPr="00435609">
        <w:rPr>
          <w:sz w:val="26"/>
          <w:szCs w:val="26"/>
          <w:lang w:val="vi-VN"/>
        </w:rPr>
        <w:t xml:space="preserve">cán bộ quản lý được </w:t>
      </w:r>
      <w:r w:rsidRPr="00E56AEB">
        <w:rPr>
          <w:sz w:val="26"/>
          <w:szCs w:val="26"/>
          <w:lang w:val="vi-VN"/>
        </w:rPr>
        <w:t>Học viện luôn chú trọng</w:t>
      </w:r>
      <w:r w:rsidRPr="00435609">
        <w:rPr>
          <w:sz w:val="26"/>
          <w:szCs w:val="26"/>
          <w:lang w:val="vi-VN"/>
        </w:rPr>
        <w:t>.</w:t>
      </w:r>
      <w:r w:rsidRPr="00E56AEB">
        <w:rPr>
          <w:sz w:val="26"/>
          <w:szCs w:val="26"/>
          <w:lang w:val="vi-VN"/>
        </w:rPr>
        <w:t xml:space="preserve"> Học viện đã ban hành quy định về đào tạo bồi dưỡng đối với công chức, viên chức và người lao động. Hằng năm, Học viện </w:t>
      </w:r>
      <w:r w:rsidRPr="00435609">
        <w:rPr>
          <w:sz w:val="26"/>
          <w:szCs w:val="26"/>
          <w:lang w:val="vi-VN"/>
        </w:rPr>
        <w:t>đều</w:t>
      </w:r>
      <w:r w:rsidRPr="00E56AEB">
        <w:rPr>
          <w:sz w:val="26"/>
          <w:szCs w:val="26"/>
          <w:lang w:val="vi-VN"/>
        </w:rPr>
        <w:t xml:space="preserve"> xây dựng kế hoạch đào tạo, bồi dưỡng </w:t>
      </w:r>
      <w:r w:rsidRPr="00435609">
        <w:rPr>
          <w:spacing w:val="4"/>
          <w:sz w:val="26"/>
          <w:szCs w:val="26"/>
          <w:lang w:val="vi-VN"/>
        </w:rPr>
        <w:t xml:space="preserve">gắn với yêu cầu tiêu chuẩn ngạch công chức, tiêu chuẩn chức danh nghề nghiệp viên chức; gắn với công tác quy hoạch, bồi dưỡng theo yêu cầu vị trí việc làm của công chức, viên chức, người lao động. Công tác này thể hiện thông qua các hoạt động như: </w:t>
      </w:r>
    </w:p>
    <w:p w14:paraId="45C5913D" w14:textId="77777777" w:rsidR="00B07621" w:rsidRPr="00435609" w:rsidRDefault="00B07621" w:rsidP="00E22F1D">
      <w:pPr>
        <w:spacing w:before="60" w:after="60" w:line="420" w:lineRule="exact"/>
        <w:contextualSpacing/>
        <w:jc w:val="both"/>
        <w:rPr>
          <w:sz w:val="26"/>
          <w:szCs w:val="26"/>
          <w:lang w:val="vi-VN"/>
        </w:rPr>
      </w:pPr>
      <w:r w:rsidRPr="00435609">
        <w:rPr>
          <w:sz w:val="26"/>
          <w:szCs w:val="26"/>
          <w:lang w:val="vi-VN"/>
        </w:rPr>
        <w:tab/>
        <w:t>- Đẩy mạnh việc cử viên chức, người lao động đi học tập, nâng cao trình độ chuyên môn nhằm phát triển nguồn nhân lực chất lượng cao, nhất là đội ngũ giảng viên để tiếp cận với khoa học tiên tiến vận dụng vào giảng dạy, nghiên cứu khoa học, quản lý, đào tạo và giao lưu quốc tế.</w:t>
      </w:r>
    </w:p>
    <w:p w14:paraId="4761AE1C" w14:textId="77777777" w:rsidR="00B07621" w:rsidRPr="00435609" w:rsidRDefault="00B07621" w:rsidP="00E22F1D">
      <w:pPr>
        <w:spacing w:before="60" w:after="60" w:line="420" w:lineRule="exact"/>
        <w:ind w:firstLine="720"/>
        <w:contextualSpacing/>
        <w:jc w:val="both"/>
        <w:rPr>
          <w:sz w:val="26"/>
          <w:szCs w:val="26"/>
          <w:lang w:val="vi-VN"/>
        </w:rPr>
      </w:pPr>
      <w:r w:rsidRPr="00435609">
        <w:rPr>
          <w:sz w:val="26"/>
          <w:szCs w:val="26"/>
          <w:lang w:val="vi-VN"/>
        </w:rPr>
        <w:t>- Tăng cường các hoạt động chuyên môn để viên chức có điều kiện học hỏi trao đổi kinh nghiệm, nâng cao trình độ trong giảng dạy và nghiên cứu khoa học. Học viện thường xuyên tổ chức các hội thảo khoa học quốc tế, mời các chuyên gia để chia sẻ kinh nghiệm. Các chương trình tập huấn về chuyên môn, nghiệp vụ, văn hóa công sở... được tổ chức thường xuyên.</w:t>
      </w:r>
    </w:p>
    <w:p w14:paraId="09613B59" w14:textId="77777777" w:rsidR="00B07621" w:rsidRPr="00435609" w:rsidRDefault="00B07621" w:rsidP="00E22F1D">
      <w:pPr>
        <w:spacing w:before="60" w:after="60" w:line="420" w:lineRule="exact"/>
        <w:ind w:firstLine="720"/>
        <w:contextualSpacing/>
        <w:jc w:val="both"/>
        <w:rPr>
          <w:sz w:val="26"/>
          <w:szCs w:val="26"/>
          <w:lang w:val="vi-VN"/>
        </w:rPr>
      </w:pPr>
      <w:r w:rsidRPr="00435609">
        <w:rPr>
          <w:sz w:val="26"/>
          <w:szCs w:val="26"/>
          <w:lang w:val="vi-VN"/>
        </w:rPr>
        <w:t>- Học viện m</w:t>
      </w:r>
      <w:r w:rsidRPr="00E56AEB">
        <w:rPr>
          <w:sz w:val="26"/>
          <w:szCs w:val="26"/>
          <w:lang w:val="vi-VN"/>
        </w:rPr>
        <w:t>ở rộng các kênh trao đổi, hợp tác đào tạo</w:t>
      </w:r>
      <w:r w:rsidRPr="00435609">
        <w:rPr>
          <w:sz w:val="26"/>
          <w:szCs w:val="26"/>
          <w:lang w:val="vi-VN"/>
        </w:rPr>
        <w:t>, nghiên cứu khoa học</w:t>
      </w:r>
      <w:r w:rsidRPr="00E56AEB">
        <w:rPr>
          <w:sz w:val="26"/>
          <w:szCs w:val="26"/>
          <w:lang w:val="vi-VN"/>
        </w:rPr>
        <w:t xml:space="preserve"> giữa </w:t>
      </w:r>
      <w:r w:rsidRPr="00435609">
        <w:rPr>
          <w:sz w:val="26"/>
          <w:szCs w:val="26"/>
          <w:lang w:val="vi-VN"/>
        </w:rPr>
        <w:t>Học viện</w:t>
      </w:r>
      <w:r w:rsidRPr="00E56AEB">
        <w:rPr>
          <w:sz w:val="26"/>
          <w:szCs w:val="26"/>
          <w:lang w:val="vi-VN"/>
        </w:rPr>
        <w:t xml:space="preserve"> và các quốc gia, tổ chức quốc tế, tích cực phát triển hợp tác với các cơ sở đào tạo hoặc các đối tác nước ngoài trong các lĩnh vực và tìm kiếm các chương trình hợp tác với nước ngoài cho cán bộ </w:t>
      </w:r>
      <w:r w:rsidRPr="00435609">
        <w:rPr>
          <w:sz w:val="26"/>
          <w:szCs w:val="26"/>
          <w:lang w:val="vi-VN"/>
        </w:rPr>
        <w:t>của Học viện</w:t>
      </w:r>
      <w:r w:rsidRPr="00E56AEB">
        <w:rPr>
          <w:sz w:val="26"/>
          <w:szCs w:val="26"/>
          <w:lang w:val="vi-VN"/>
        </w:rPr>
        <w:t>. Trên cơ sở các chương trình, dự án đào tạo</w:t>
      </w:r>
      <w:r w:rsidRPr="00435609">
        <w:rPr>
          <w:sz w:val="26"/>
          <w:szCs w:val="26"/>
          <w:lang w:val="vi-VN"/>
        </w:rPr>
        <w:t>, nghiên cứu</w:t>
      </w:r>
      <w:r w:rsidRPr="00E56AEB">
        <w:rPr>
          <w:sz w:val="26"/>
          <w:szCs w:val="26"/>
          <w:lang w:val="vi-VN"/>
        </w:rPr>
        <w:t xml:space="preserve"> hiện có, tập trung mở rộng mô hình hợp tác đào tạo</w:t>
      </w:r>
      <w:r w:rsidRPr="00435609">
        <w:rPr>
          <w:sz w:val="26"/>
          <w:szCs w:val="26"/>
          <w:lang w:val="vi-VN"/>
        </w:rPr>
        <w:t>, nghiên cứu</w:t>
      </w:r>
      <w:r w:rsidRPr="00E56AEB">
        <w:rPr>
          <w:sz w:val="26"/>
          <w:szCs w:val="26"/>
          <w:lang w:val="vi-VN"/>
        </w:rPr>
        <w:t xml:space="preserve"> và lĩnh vực </w:t>
      </w:r>
      <w:r w:rsidRPr="00E56AEB">
        <w:rPr>
          <w:sz w:val="26"/>
          <w:szCs w:val="26"/>
          <w:lang w:val="vi-VN"/>
        </w:rPr>
        <w:lastRenderedPageBreak/>
        <w:t>hợp tác đào tạo</w:t>
      </w:r>
      <w:r w:rsidRPr="00435609">
        <w:rPr>
          <w:sz w:val="26"/>
          <w:szCs w:val="26"/>
          <w:lang w:val="vi-VN"/>
        </w:rPr>
        <w:t>, nghiên cứu</w:t>
      </w:r>
      <w:r w:rsidRPr="00E56AEB">
        <w:rPr>
          <w:sz w:val="26"/>
          <w:szCs w:val="26"/>
          <w:lang w:val="vi-VN"/>
        </w:rPr>
        <w:t>. Mở rộng hợp tác với các trường đại học, viện nghiên cứu trên toàn cầu để tranh thủ nguồn nhân lực, vật lực phục vụ đào tạo nhân lực Việt Nam đủ khả năng làm việc trong môi trường quốc tế, thông qua cấp học bổng, tài trợ dự án phát triển, nghiên cứu, trao đổi seminar, hội thảo...</w:t>
      </w:r>
    </w:p>
    <w:p w14:paraId="722E6A45" w14:textId="77777777" w:rsidR="00C55E01" w:rsidRDefault="00B07621" w:rsidP="00C55E01">
      <w:pPr>
        <w:spacing w:before="60" w:after="60" w:line="420" w:lineRule="exact"/>
        <w:contextualSpacing/>
        <w:jc w:val="both"/>
        <w:rPr>
          <w:sz w:val="26"/>
          <w:szCs w:val="26"/>
          <w:lang w:val="vi-VN"/>
        </w:rPr>
      </w:pPr>
      <w:r w:rsidRPr="00435609">
        <w:rPr>
          <w:sz w:val="26"/>
          <w:szCs w:val="26"/>
          <w:lang w:val="vi-VN"/>
        </w:rPr>
        <w:tab/>
        <w:t>- Hỗ trợ tìm nguồn kinh phí, đề cử</w:t>
      </w:r>
      <w:r w:rsidRPr="00E56AEB">
        <w:rPr>
          <w:sz w:val="26"/>
          <w:szCs w:val="26"/>
          <w:lang w:val="vi-VN"/>
        </w:rPr>
        <w:t xml:space="preserve"> hàng trăm lượt người đi đào tạo tiến sĩ, thạc sĩ, học tập, bồi dưỡng chuyên môn, nghiệp vụ trong và ngoài nước. </w:t>
      </w:r>
    </w:p>
    <w:p w14:paraId="79AFC7F5" w14:textId="77777777" w:rsidR="00B07621" w:rsidRPr="00435609" w:rsidRDefault="00B07621" w:rsidP="00C55E01">
      <w:pPr>
        <w:spacing w:before="60" w:after="60" w:line="420" w:lineRule="exact"/>
        <w:ind w:firstLine="720"/>
        <w:contextualSpacing/>
        <w:jc w:val="both"/>
        <w:rPr>
          <w:sz w:val="26"/>
          <w:szCs w:val="26"/>
          <w:lang w:val="vi-VN"/>
        </w:rPr>
      </w:pPr>
      <w:r w:rsidRPr="00435609">
        <w:rPr>
          <w:sz w:val="26"/>
          <w:szCs w:val="26"/>
          <w:lang w:val="vi-VN"/>
        </w:rPr>
        <w:t xml:space="preserve">- Chú trọng trong công tác bồi dưỡng năng lực quản lý thông qua việc điều động, luân chuyển cán bộ, giúp cán bộ được quy hoạch được thử thách ở nhiều vị trí công tác khác nhau. </w:t>
      </w:r>
    </w:p>
    <w:p w14:paraId="6796FB9C" w14:textId="77777777" w:rsidR="000C3751" w:rsidRPr="00435609" w:rsidRDefault="000C3751" w:rsidP="000C3751">
      <w:pPr>
        <w:spacing w:before="60" w:after="60" w:line="420" w:lineRule="exact"/>
        <w:ind w:firstLine="567"/>
        <w:jc w:val="both"/>
        <w:rPr>
          <w:b/>
          <w:i/>
          <w:color w:val="000000"/>
          <w:sz w:val="26"/>
          <w:szCs w:val="26"/>
          <w:lang w:val="vi-VN"/>
        </w:rPr>
      </w:pPr>
      <w:r w:rsidRPr="00435609">
        <w:rPr>
          <w:b/>
          <w:i/>
          <w:color w:val="000000"/>
          <w:sz w:val="26"/>
          <w:szCs w:val="26"/>
          <w:lang w:val="vi-VN"/>
        </w:rPr>
        <w:t>đ) Công tác phối hợp, gắn kết với các doanh nghiệp trong tổ chức thực hiện nhiệm vụ đào tạo; đào tạo gắn kết với yêu cầu của doanh nghiệp; kết quả thực hiện các bản thỏa thuận đã ký với các doanh</w:t>
      </w:r>
      <w:r w:rsidR="00564653" w:rsidRPr="00435609">
        <w:rPr>
          <w:b/>
          <w:i/>
          <w:color w:val="000000"/>
          <w:sz w:val="26"/>
          <w:szCs w:val="26"/>
          <w:lang w:val="vi-VN"/>
        </w:rPr>
        <w:t xml:space="preserve"> nghiệp</w:t>
      </w:r>
      <w:r w:rsidRPr="00435609">
        <w:rPr>
          <w:b/>
          <w:i/>
          <w:color w:val="000000"/>
          <w:sz w:val="26"/>
          <w:szCs w:val="26"/>
          <w:lang w:val="vi-VN"/>
        </w:rPr>
        <w:t xml:space="preserve"> tại các hội nghị thời gian qua.</w:t>
      </w:r>
    </w:p>
    <w:p w14:paraId="263F8862" w14:textId="77777777" w:rsidR="000C3751" w:rsidRPr="00435609" w:rsidRDefault="000C3751" w:rsidP="00C55E01">
      <w:pPr>
        <w:spacing w:line="312" w:lineRule="auto"/>
        <w:ind w:firstLine="720"/>
        <w:jc w:val="both"/>
        <w:rPr>
          <w:bCs/>
          <w:sz w:val="26"/>
          <w:szCs w:val="26"/>
          <w:lang w:val="vi-VN"/>
        </w:rPr>
      </w:pPr>
      <w:r w:rsidRPr="00435609">
        <w:rPr>
          <w:bCs/>
          <w:sz w:val="26"/>
          <w:szCs w:val="26"/>
          <w:lang w:val="vi-VN"/>
        </w:rPr>
        <w:t>- Kết quả hợp tác năm học 2023-2024 với 10 doanh nghiệp có biên bản ghi nhớ hợp tác giai đoạn 2023-2028 với học viện nông nghiệp việt nam</w:t>
      </w:r>
      <w:r w:rsidR="00C55E01" w:rsidRPr="00435609">
        <w:rPr>
          <w:bCs/>
          <w:sz w:val="26"/>
          <w:szCs w:val="26"/>
          <w:lang w:val="vi-VN"/>
        </w:rPr>
        <w:t xml:space="preserve">. </w:t>
      </w:r>
      <w:r w:rsidRPr="00435609">
        <w:rPr>
          <w:sz w:val="26"/>
          <w:szCs w:val="26"/>
          <w:lang w:val="vi-VN"/>
        </w:rPr>
        <w:t xml:space="preserve">Một số kết quả nổi bật trong năm học 2023-2024 như sau: </w:t>
      </w:r>
      <w:r w:rsidRPr="00435609">
        <w:rPr>
          <w:bCs/>
          <w:sz w:val="26"/>
          <w:szCs w:val="26"/>
          <w:lang w:val="vi-VN" w:eastAsia="vi-VN"/>
        </w:rPr>
        <w:t>H</w:t>
      </w:r>
      <w:r w:rsidR="007B405D" w:rsidRPr="00435609">
        <w:rPr>
          <w:bCs/>
          <w:sz w:val="26"/>
          <w:szCs w:val="26"/>
          <w:lang w:val="vi-VN" w:eastAsia="vi-VN"/>
        </w:rPr>
        <w:t>ọc viện</w:t>
      </w:r>
      <w:r w:rsidRPr="00435609">
        <w:rPr>
          <w:bCs/>
          <w:sz w:val="26"/>
          <w:szCs w:val="26"/>
          <w:lang w:val="vi-VN" w:eastAsia="vi-VN"/>
        </w:rPr>
        <w:t xml:space="preserve"> đã tiếp nhận từ 10 doanh nghiệp thoả thuận hợp tác phía Bắc như thoả thuận, cam kết đạt gần 1,2 tỷ đồng. Một số doanh nghiệp cấp học bổng lớn như: Tập đoàn PAN (500 triệu đồng); tập đoàn Doveco (250 triệu đồng)...Có 01 suất học bổng khởi nghiệp trị giá 100 triệu (PAN), 01 suất học bổng tài trợ sinh viên nghiên cứu khoa học trị giá 20 triệu (Phương Bắc). Tiếp nhận sinh viên tham quan, trải nghiệm: Tổng số 1.230 lượt sinh viên tham gia tham quan, trải nghiệm 10 doanh nghiệp phía Bắc. Trong đó các doanh nghiệp tiếp nhận lượng sinh viên lớn là Công ty cổ phần CP Việt Nam, Tập đoàn Doveco... Riêng tập đoàn Doveco đã hỗ trợ gần 100 triệu đồng cho hoạt động tham quan của hơn 200 lượt sinh viên tới trụ sở doanh nghiệp tại Ninh Bình, nhà máy sản xuất tại Sơn La. </w:t>
      </w:r>
      <w:r w:rsidRPr="00435609">
        <w:rPr>
          <w:bCs/>
          <w:lang w:val="vi-VN" w:eastAsia="vi-VN"/>
        </w:rPr>
        <w:t>Tiếp nhận sinh viên thực tập tốt nghiệp:</w:t>
      </w:r>
      <w:r w:rsidR="007B405D" w:rsidRPr="00435609">
        <w:rPr>
          <w:bCs/>
          <w:lang w:val="vi-VN" w:eastAsia="vi-VN"/>
        </w:rPr>
        <w:t xml:space="preserve"> </w:t>
      </w:r>
      <w:r w:rsidR="007B405D" w:rsidRPr="00435609">
        <w:rPr>
          <w:bCs/>
          <w:iCs/>
          <w:lang w:val="vi-VN"/>
        </w:rPr>
        <w:t>Học viện</w:t>
      </w:r>
      <w:r w:rsidRPr="00435609">
        <w:rPr>
          <w:lang w:val="vi-VN"/>
        </w:rPr>
        <w:t xml:space="preserve"> đã đưa 123 sinh viên thực tập tốt nghiệp tại 10 doanh nghiệp phía Bắc. Hơn 70% số sinh viên này được doanh nghiệp, hợp tác xã ký hợp đồng, có trả lương. </w:t>
      </w:r>
    </w:p>
    <w:p w14:paraId="6E5FE2FA" w14:textId="77777777" w:rsidR="000C3751" w:rsidRPr="00435609" w:rsidRDefault="000C3751" w:rsidP="000C3751">
      <w:pPr>
        <w:widowControl w:val="0"/>
        <w:suppressAutoHyphens/>
        <w:spacing w:line="312" w:lineRule="auto"/>
        <w:ind w:firstLine="720"/>
        <w:jc w:val="both"/>
        <w:rPr>
          <w:sz w:val="26"/>
          <w:szCs w:val="26"/>
          <w:lang w:val="vi-VN"/>
        </w:rPr>
      </w:pPr>
      <w:r w:rsidRPr="00435609">
        <w:rPr>
          <w:bCs/>
          <w:sz w:val="26"/>
          <w:szCs w:val="26"/>
          <w:lang w:val="vi-VN" w:eastAsia="vi-VN"/>
        </w:rPr>
        <w:t xml:space="preserve">Tham gia giảng dạy kỹ năng mềm, tọa đàm, </w:t>
      </w:r>
      <w:r w:rsidRPr="00435609">
        <w:rPr>
          <w:rFonts w:eastAsia="Calibri"/>
          <w:bCs/>
          <w:sz w:val="26"/>
          <w:szCs w:val="26"/>
          <w:lang w:val="vi-VN" w:eastAsia="vi-VN"/>
        </w:rPr>
        <w:t>tư vấn hướng dẫn khởi nghiệp cho sinh viên: 10 doanh nghiệp phía Bắc đã cử 48 lượt chuyên gia là lãnh đạo doanh nghiệp tham gia hoạt động này. Tiêu biểu là các doanh nghiệp: Tập đoàn PAN, Công ty cổ phần CP Việt Nam, Công ty cổ phần Green feed Việt Nam, Công ty Codelovers, Công ty CP Đầu tư và tư vấn Phương Bắc, Công ty Vnua Pharma. Số sinh viên thụ hưởng chương trình là hơn 11.000 sinh viên (hơn 6000 sinh viên khoá mới – khoá 68) và hơn 5000 sinh viên khoá cũ.</w:t>
      </w:r>
    </w:p>
    <w:p w14:paraId="6F9386AE" w14:textId="77777777" w:rsidR="000C3751" w:rsidRPr="00435609" w:rsidRDefault="000C3751" w:rsidP="000C3751">
      <w:pPr>
        <w:spacing w:line="312" w:lineRule="auto"/>
        <w:ind w:firstLine="720"/>
        <w:jc w:val="both"/>
        <w:rPr>
          <w:bCs/>
          <w:sz w:val="26"/>
          <w:szCs w:val="26"/>
          <w:lang w:val="vi-VN" w:eastAsia="vi-VN"/>
        </w:rPr>
      </w:pPr>
      <w:r w:rsidRPr="00435609">
        <w:rPr>
          <w:rFonts w:eastAsia="Calibri"/>
          <w:bCs/>
          <w:sz w:val="26"/>
          <w:szCs w:val="26"/>
          <w:lang w:val="vi-VN" w:eastAsia="vi-VN"/>
        </w:rPr>
        <w:t xml:space="preserve">Tham gia xây dựng chương trình đào tạo, </w:t>
      </w:r>
      <w:r w:rsidRPr="00435609">
        <w:rPr>
          <w:bCs/>
          <w:sz w:val="26"/>
          <w:szCs w:val="26"/>
          <w:lang w:val="vi-VN" w:eastAsia="vi-VN"/>
        </w:rPr>
        <w:t xml:space="preserve">tham gia hội đồng đánh giá sinh viên: Đã có 48 lượt chuyên là lãnh đạo 10 doanh nghiệp phía Bắc tham gia góp ý kiến vào các chương trình đào tạo được Học viện kiểm định năm 2023 và các chương trình đào tạo </w:t>
      </w:r>
      <w:r w:rsidRPr="00435609">
        <w:rPr>
          <w:bCs/>
          <w:sz w:val="26"/>
          <w:szCs w:val="26"/>
          <w:lang w:val="vi-VN" w:eastAsia="vi-VN"/>
        </w:rPr>
        <w:lastRenderedPageBreak/>
        <w:t xml:space="preserve">đang được cải tiến chương trình. Có 13 lượt chuyên gia của các doanh nghiệp tham gia các hội đồng đánh giá sinh viên tốt nghiệp các bậc đại học, thạc sĩ.   </w:t>
      </w:r>
    </w:p>
    <w:p w14:paraId="09A2B6C7" w14:textId="77777777" w:rsidR="000C3751" w:rsidRPr="00435609" w:rsidRDefault="00740F17" w:rsidP="000C3751">
      <w:pPr>
        <w:widowControl w:val="0"/>
        <w:suppressAutoHyphens/>
        <w:spacing w:line="312" w:lineRule="auto"/>
        <w:ind w:firstLine="720"/>
        <w:jc w:val="both"/>
        <w:rPr>
          <w:rFonts w:eastAsia="Calibri"/>
          <w:bCs/>
          <w:sz w:val="26"/>
          <w:szCs w:val="26"/>
          <w:lang w:val="vi-VN" w:eastAsia="vi-VN"/>
        </w:rPr>
      </w:pPr>
      <w:r w:rsidRPr="00435609">
        <w:rPr>
          <w:rFonts w:eastAsia="Calibri"/>
          <w:bCs/>
          <w:sz w:val="26"/>
          <w:szCs w:val="26"/>
          <w:lang w:val="vi-VN" w:eastAsia="vi-VN"/>
        </w:rPr>
        <w:t xml:space="preserve">Phối hợp, hỗ trợ </w:t>
      </w:r>
      <w:r w:rsidR="000C3751" w:rsidRPr="00435609">
        <w:rPr>
          <w:rFonts w:eastAsia="Calibri"/>
          <w:bCs/>
          <w:sz w:val="26"/>
          <w:szCs w:val="26"/>
          <w:lang w:val="vi-VN" w:eastAsia="vi-VN"/>
        </w:rPr>
        <w:t xml:space="preserve">trong hợp tác quốc tế, kết nối đối tác và nâng cao hình ảnh trong nước, quốc tế: Phía Học viện Nông nghiệp Việt Nam và 10 doanh nghiệp hợp tác phía Bắc đã đặt trên logo của nhau trên trang web chính thức của hai bên; đã có 12 bài viết về quan hệ hợp tác được công bố trên báo chí; 32 bài và tin, bài viết được đăng trên trang web của các bên; một số tin, bài được phát thanh trong chương trình phát thanh nội bộ.  </w:t>
      </w:r>
    </w:p>
    <w:p w14:paraId="424AA39E" w14:textId="77777777" w:rsidR="000C3751" w:rsidRPr="00435609" w:rsidRDefault="000C3751" w:rsidP="000C3751">
      <w:pPr>
        <w:widowControl w:val="0"/>
        <w:suppressAutoHyphens/>
        <w:spacing w:line="312" w:lineRule="auto"/>
        <w:ind w:firstLine="720"/>
        <w:jc w:val="both"/>
        <w:rPr>
          <w:rFonts w:eastAsia="Calibri"/>
          <w:bCs/>
          <w:sz w:val="26"/>
          <w:szCs w:val="26"/>
          <w:lang w:val="vi-VN" w:eastAsia="vi-VN"/>
        </w:rPr>
      </w:pPr>
      <w:r w:rsidRPr="00435609">
        <w:rPr>
          <w:rFonts w:eastAsia="Calibri"/>
          <w:bCs/>
          <w:iCs/>
          <w:sz w:val="26"/>
          <w:szCs w:val="26"/>
          <w:lang w:val="vi-VN" w:eastAsia="vi-VN"/>
        </w:rPr>
        <w:t xml:space="preserve">+ Một số đánh giá về kết quả đạt được: </w:t>
      </w:r>
      <w:r w:rsidRPr="00435609">
        <w:rPr>
          <w:rFonts w:eastAsia="Calibri"/>
          <w:bCs/>
          <w:sz w:val="26"/>
          <w:szCs w:val="26"/>
          <w:lang w:val="vi-VN" w:eastAsia="vi-VN"/>
        </w:rPr>
        <w:t xml:space="preserve">Kết quả hợp tác gia Học viện Nông nghiệp Việt Nam với doanh nghiệp, hợp tác xã đạt được kết quả nổi bật về học bổng tài trợ sinh viên với số tiền học bổng tài trợ của nhóm 10 doanh nghiệp hợp tác tăng gần gấp 2 lần. Số sinh viên tham quan, trải nghiệm tăng mạnh với gần 1.300 sinh viên tham gia, đặc biệt gần 20% số sinh viên khoá mới vào trường được tham gia; 10 doanh nghiệp đã hỗ trợ đi lại, ăn ở, tặng quà cho sinh viên với tổng trị giá khoảng 300 triệu đồng, riêng tập đoàn Doveco gần 85 triệu đồng. Số lượng sinh viên được thực tập tốt nghiệp tại doanh nghiệp cũng tăng gần 2 lần so với trước đây tăng. </w:t>
      </w:r>
      <w:r w:rsidRPr="00435609">
        <w:rPr>
          <w:bCs/>
          <w:sz w:val="26"/>
          <w:szCs w:val="26"/>
          <w:lang w:val="vi-VN" w:eastAsia="vi-VN"/>
        </w:rPr>
        <w:t xml:space="preserve">Hoạt động tham gia giảng dạy kỹ năng mềm, tọa đàm, </w:t>
      </w:r>
      <w:r w:rsidRPr="00435609">
        <w:rPr>
          <w:rFonts w:eastAsia="Calibri"/>
          <w:bCs/>
          <w:sz w:val="26"/>
          <w:szCs w:val="26"/>
          <w:lang w:val="vi-VN" w:eastAsia="vi-VN"/>
        </w:rPr>
        <w:t xml:space="preserve">tư vấn hướng dẫn khởi nghiệp cho sinh viên dẫn đến gần 100% sinh viên khoá mới (khoá 68) của Học viện và gần 50% số sinh viên khoá cũ, đặc biệt là sinh viên khoá cuối được trao đổi, giao lưu, học tập từ các chuyên gia đến từ doanh nghiệp. Hoạt động chuyên gia của doanh nghiệp vào xây dựng chương trình đào tạo, </w:t>
      </w:r>
      <w:r w:rsidRPr="00435609">
        <w:rPr>
          <w:bCs/>
          <w:sz w:val="26"/>
          <w:szCs w:val="26"/>
          <w:lang w:val="vi-VN" w:eastAsia="vi-VN"/>
        </w:rPr>
        <w:t>hội đồng đánh giá sinh viên cũng như hoạt động h</w:t>
      </w:r>
      <w:r w:rsidRPr="00435609">
        <w:rPr>
          <w:rFonts w:eastAsia="Calibri"/>
          <w:bCs/>
          <w:sz w:val="26"/>
          <w:szCs w:val="26"/>
          <w:lang w:val="vi-VN" w:eastAsia="vi-VN"/>
        </w:rPr>
        <w:t xml:space="preserve">ỗ trợ nhau trong hợp tác quốc tế, kết nối đối tác và nâng cao hình ảnh trong nước, quốc tế cũng có bước tiến đáng kể.  Có hai mô hình mở lớp đào tạo là lớp Hạt giống tài năng của khoa Chăn nuôi do Greenfeed tài trợ; lớp Khoa học đất của khoa Tài nguyên và Môi trường do Phương Bắc tài trợ. Trong năm qua, 2 lớp này được tiếp nhận tài trợ khoảng 800 triệu đồng. Các con số ấn tượng trong mối quan hệ giữa HVN với 10 doanh nghiệp là: Tổng số sinh viên tham quan trải nghiệm, thực tập, rèn nghề, thực tập tốt nghiệp gần 1.400; tổng số tài chính tài trợ học bổng, Hội nghị, hỗ trợ sinh viên...3 tỷ đồng.    </w:t>
      </w:r>
    </w:p>
    <w:p w14:paraId="4473CE7F" w14:textId="77777777" w:rsidR="000C3751" w:rsidRPr="00435609" w:rsidRDefault="000C3751" w:rsidP="000C3751">
      <w:pPr>
        <w:pStyle w:val="Vnbnnidung0"/>
        <w:tabs>
          <w:tab w:val="left" w:pos="709"/>
        </w:tabs>
        <w:adjustRightInd w:val="0"/>
        <w:snapToGrid w:val="0"/>
        <w:spacing w:after="0" w:line="312" w:lineRule="auto"/>
        <w:ind w:firstLine="720"/>
        <w:jc w:val="both"/>
        <w:rPr>
          <w:rFonts w:ascii="Times New Roman" w:hAnsi="Times New Roman" w:cs="Times New Roman"/>
          <w:lang w:val="vi-VN" w:eastAsia="vi-VN"/>
        </w:rPr>
      </w:pPr>
      <w:r w:rsidRPr="00435609">
        <w:rPr>
          <w:rFonts w:ascii="Times New Roman" w:hAnsi="Times New Roman" w:cs="Times New Roman"/>
          <w:lang w:val="vi-VN" w:eastAsia="vi-VN"/>
        </w:rPr>
        <w:t>- Hoạt động hợp tác với doanh nghiệp của các khoa chuyên môn của học viện nông nghiệp việt nam năm học 2023-2024</w:t>
      </w:r>
    </w:p>
    <w:p w14:paraId="29C5BFC5" w14:textId="77777777" w:rsidR="000C3751" w:rsidRPr="00435609" w:rsidRDefault="000C3751" w:rsidP="000C3751">
      <w:pPr>
        <w:pStyle w:val="Vnbnnidung0"/>
        <w:tabs>
          <w:tab w:val="left" w:pos="709"/>
        </w:tabs>
        <w:adjustRightInd w:val="0"/>
        <w:snapToGrid w:val="0"/>
        <w:spacing w:after="0" w:line="312" w:lineRule="auto"/>
        <w:ind w:firstLine="720"/>
        <w:jc w:val="both"/>
        <w:rPr>
          <w:rFonts w:ascii="Times New Roman" w:hAnsi="Times New Roman" w:cs="Times New Roman"/>
          <w:bCs/>
          <w:lang w:val="vi-VN" w:eastAsia="vi-VN"/>
        </w:rPr>
      </w:pPr>
      <w:r w:rsidRPr="00435609">
        <w:rPr>
          <w:rFonts w:ascii="Times New Roman" w:hAnsi="Times New Roman" w:cs="Times New Roman"/>
          <w:bCs/>
          <w:lang w:val="vi-VN" w:eastAsia="vi-VN"/>
        </w:rPr>
        <w:t xml:space="preserve">+ Tổng số doanh nghiệp quan hệ hợp tác gần 200 lượt doanh nghiệp. Hoạt động hợp tác giữa các doanh nghiệp với các khoa chuyên môn chủ yếu trên các lĩnh vực đào tạo. Cụ thể gồm: Sinh viên tham quan trải nghiệm gần 450 sinh viên; sinh viên thực tập rèn nghề hơn 3700 sinh viên; sinh viên thực tập tốt nghiệp gần 1300 sinh viên; trao học bổng sinh viên với tổng trị giá 360 tiệu đồng.  Các doanh nghiệp đã tham gia tích cực vào một số hoạt động khác như: toạ đàm với sinh viên (với 12 khoa), quảng bá tuyển sinh (với 12 khoa); xây dựng chương trình đào tạo, tham gia kiểm định (10 chương trình </w:t>
      </w:r>
      <w:r w:rsidRPr="00435609">
        <w:rPr>
          <w:rFonts w:ascii="Times New Roman" w:hAnsi="Times New Roman" w:cs="Times New Roman"/>
          <w:bCs/>
          <w:lang w:val="vi-VN" w:eastAsia="vi-VN"/>
        </w:rPr>
        <w:lastRenderedPageBreak/>
        <w:t>đào tạo).</w:t>
      </w:r>
    </w:p>
    <w:p w14:paraId="225AB60B" w14:textId="77777777" w:rsidR="000C3751" w:rsidRPr="00435609" w:rsidRDefault="000C3751" w:rsidP="000C3751">
      <w:pPr>
        <w:pStyle w:val="Vnbnnidung0"/>
        <w:tabs>
          <w:tab w:val="left" w:pos="709"/>
        </w:tabs>
        <w:adjustRightInd w:val="0"/>
        <w:snapToGrid w:val="0"/>
        <w:spacing w:after="0" w:line="312" w:lineRule="auto"/>
        <w:ind w:firstLine="720"/>
        <w:jc w:val="both"/>
        <w:rPr>
          <w:rFonts w:ascii="Times New Roman" w:hAnsi="Times New Roman" w:cs="Times New Roman"/>
          <w:bCs/>
          <w:lang w:val="vi-VN" w:eastAsia="vi-VN"/>
        </w:rPr>
      </w:pPr>
      <w:r w:rsidRPr="00435609">
        <w:rPr>
          <w:rFonts w:ascii="Times New Roman" w:hAnsi="Times New Roman" w:cs="Times New Roman"/>
          <w:bCs/>
          <w:lang w:val="vi-VN" w:eastAsia="vi-VN"/>
        </w:rPr>
        <w:t xml:space="preserve">+ Một số đánh giá kết quả quan hệ hợp tác: Hầu hết các khoa đã có quan hệ hợp tác với các doanh nghiệp. Số lượng doanh nghiệp do các khoa hợp tác rất lớn (180 doanh nghiệp). Tuy nhiên, không đồng đều giữa các khoa. Các khoa chuyên môn và doanh nghiệp chủ yếu hợp tác trong quan hệ đào tạo với 04 hoạt động chính là: Tiếp nhận sinh viên thực tập tốt nghiệp, tiếp nhận sinh viên thực tập, rèn nghề, tiếp nhận sinh viên tham quan, trải nghiệm và trao học bổng. Tuy nhiên, số lượng sinh viên tham quan trải nghiệm và giá trị học bổng sinh viên còn thấp; số lượng sinh viên thực tập tốt nghiệp, thực tập, rèn nghề khá cao. Khoa có số lượng được tiếp nhận thực tập tốt nghiệp và thực tập rèn nghề cao nhất là khoa Kế toán và Quản trị kinh với gần 4.000 sinh viên. Các doanh nghiệp đã tham gia trực tiếp vào hoạt động quảng bá tuyển sinh trong chuỗi chương trình “Hành trình khởi nghiệp từ tường THPT năm 2024”; tham gia 10 chương trình kiểm định đào tạo của Học viện năm 2023 và tham gia nhiều chương trình trao đổi, hướng nghiệp đối với sinh viên các khoa chuyên môn. Hoạt động hợp tác về nghiên cứu, chuyển giao giữa các khoa chuyên môn và doanh nghiệp còn đạt kết quả thấp.  </w:t>
      </w:r>
    </w:p>
    <w:p w14:paraId="0D0696CC" w14:textId="77777777" w:rsidR="000C3751" w:rsidRPr="00435609" w:rsidRDefault="000C3751" w:rsidP="000C3751">
      <w:pPr>
        <w:spacing w:line="312" w:lineRule="auto"/>
        <w:ind w:firstLine="720"/>
        <w:jc w:val="both"/>
        <w:rPr>
          <w:rFonts w:eastAsia="Calibri"/>
          <w:sz w:val="26"/>
          <w:szCs w:val="26"/>
          <w:lang w:val="vi-VN" w:eastAsia="vi-VN"/>
        </w:rPr>
      </w:pPr>
      <w:r w:rsidRPr="00435609">
        <w:rPr>
          <w:rFonts w:eastAsia="Calibri"/>
          <w:sz w:val="26"/>
          <w:szCs w:val="26"/>
          <w:lang w:val="vi-VN" w:eastAsia="vi-VN"/>
        </w:rPr>
        <w:t xml:space="preserve">- Hoạt động hợp tác với các doanh nghiệp, hợp tác xã vùng tây nguyên và tây nam bộ năm học 2023-2024 </w:t>
      </w:r>
    </w:p>
    <w:p w14:paraId="50D3B892" w14:textId="77777777" w:rsidR="000C3751" w:rsidRPr="00435609" w:rsidRDefault="000C3751" w:rsidP="000C3751">
      <w:pPr>
        <w:spacing w:line="312" w:lineRule="auto"/>
        <w:ind w:firstLine="720"/>
        <w:jc w:val="both"/>
        <w:rPr>
          <w:sz w:val="26"/>
          <w:szCs w:val="26"/>
          <w:lang w:val="vi-VN"/>
        </w:rPr>
      </w:pPr>
      <w:r w:rsidRPr="00435609">
        <w:rPr>
          <w:rFonts w:eastAsia="Calibri"/>
          <w:bCs/>
          <w:sz w:val="26"/>
          <w:szCs w:val="26"/>
          <w:lang w:val="vi-VN" w:eastAsia="vi-VN"/>
        </w:rPr>
        <w:t xml:space="preserve">+ Với sự nỗ lực của Học viện Nông nghiệp Việt Nam, sự thống nhất và phối hợp chặt chẽ của các doanh nghiệp, hợp tác xã, giai đoạn đầu hoạt động thực tập tốt nghiệp của sinh viên Học viện Nông nghiệp tại các doanh nghiệp, hợp tác xã vùng nguyên liệu Tây Nguyên và Tứ giác Long xuyên đạt được như sau: </w:t>
      </w:r>
      <w:r w:rsidRPr="00435609">
        <w:rPr>
          <w:sz w:val="26"/>
          <w:szCs w:val="26"/>
          <w:lang w:val="vi-VN"/>
        </w:rPr>
        <w:t xml:space="preserve">Sinh viên khoa Công nghệ thực phẩm: 04 sinh viên thực tập tại 04 hợp tác xã vùng Tây Nguyên; Sinh viên khoa Nông học: 14 sinh viên, trong đó 04 sinh viên thực tập tại vùng Tứ giác Long Xuyên; 10 sinh viên thực tập tại vùng Tây Nguyên, trong đó có 02 hợp tác xã; Sinh viên khoa Kế toán và Quả trị kinh doanh: thực tập tại 02 hợp tác xã và 1 doanh nghiệp tại Tây Nguyên. </w:t>
      </w:r>
    </w:p>
    <w:p w14:paraId="655C962C" w14:textId="77777777" w:rsidR="000C3751" w:rsidRPr="00435609" w:rsidRDefault="000C3751" w:rsidP="000C3751">
      <w:pPr>
        <w:spacing w:line="312" w:lineRule="auto"/>
        <w:ind w:firstLine="720"/>
        <w:jc w:val="both"/>
        <w:rPr>
          <w:rFonts w:eastAsia="Calibri"/>
          <w:bCs/>
          <w:sz w:val="26"/>
          <w:szCs w:val="26"/>
          <w:lang w:val="vi-VN" w:eastAsia="vi-VN"/>
        </w:rPr>
      </w:pPr>
      <w:r w:rsidRPr="00435609">
        <w:rPr>
          <w:sz w:val="26"/>
          <w:szCs w:val="26"/>
          <w:lang w:val="vi-VN"/>
        </w:rPr>
        <w:t>+ Một số đánh giá kết quả hợp tác: Học viện Nông nghiệp Việt Nam và c</w:t>
      </w:r>
      <w:r w:rsidRPr="00435609">
        <w:rPr>
          <w:rFonts w:eastAsia="Calibri"/>
          <w:bCs/>
          <w:sz w:val="26"/>
          <w:szCs w:val="26"/>
          <w:lang w:val="vi-VN" w:eastAsia="vi-VN"/>
        </w:rPr>
        <w:t xml:space="preserve">ác doanh nghiệp, hợp tác xã vùng nguyên liệu Tứ giác Long xuyên và Tây Nguyên thoả thuận hợp tác góp phần tạo thêm cơ hội cho sinh viên lựa chọn nơi thực tập; địa bàn thực tập của sinh viên Học viện được mở rộng. </w:t>
      </w:r>
      <w:r w:rsidRPr="00435609">
        <w:rPr>
          <w:sz w:val="26"/>
          <w:szCs w:val="26"/>
          <w:lang w:val="vi-VN"/>
        </w:rPr>
        <w:t xml:space="preserve">Quá trình triển khai vẫn còn một số lúng túng nên con số 23 sinh viên được đưa vào thực tập tốt nghiệp tại </w:t>
      </w:r>
      <w:r w:rsidRPr="00435609">
        <w:rPr>
          <w:rFonts w:eastAsia="Calibri"/>
          <w:bCs/>
          <w:sz w:val="26"/>
          <w:szCs w:val="26"/>
          <w:lang w:val="vi-VN" w:eastAsia="vi-VN"/>
        </w:rPr>
        <w:t xml:space="preserve">các doanh nghiệp, hợp tác xã vùng nguyên liệu Tứ giác Long xuyên và Tây Nguyên là thành công đáng kể bước đầu. Địa bàn xa xôi hàng ngàn kilômet, điều kiện tự nhiên, điều kiện sản xuất, điều kiện học tập và sinh hoạt khá xa lạ so với môi trường sống và học tập tại Hà Nội, tại miền Bắc... là trở ngại tâm lý lớn để sinh viên Học viện Nông nghiệp Việt Nam lựa chọn vào các doanh nghiệp, hợp tác xã vùng nguyên liệu Tứ giác Long xuyên và Tây Nguyên thực tập tốt nghiệp. </w:t>
      </w:r>
      <w:r w:rsidRPr="00435609">
        <w:rPr>
          <w:bCs/>
          <w:sz w:val="26"/>
          <w:szCs w:val="26"/>
          <w:lang w:val="vi-VN" w:eastAsia="vi-VN"/>
        </w:rPr>
        <w:t>Ưu điểm cơ bản vẫn là cơ hội học tập, nghiên cứu, rèn nghề của sinh viên Học viện đã được mở rộng vào tận Tây Nguyên và các tỉnh phía Nam</w:t>
      </w:r>
      <w:r w:rsidRPr="00435609">
        <w:rPr>
          <w:sz w:val="26"/>
          <w:szCs w:val="26"/>
          <w:lang w:val="vi-VN"/>
        </w:rPr>
        <w:t xml:space="preserve">.  </w:t>
      </w:r>
      <w:r w:rsidRPr="00435609">
        <w:rPr>
          <w:rFonts w:eastAsia="Calibri"/>
          <w:bCs/>
          <w:sz w:val="26"/>
          <w:szCs w:val="26"/>
          <w:lang w:val="vi-VN" w:eastAsia="vi-VN"/>
        </w:rPr>
        <w:t xml:space="preserve">Thực tế nhu </w:t>
      </w:r>
      <w:r w:rsidRPr="00435609">
        <w:rPr>
          <w:rFonts w:eastAsia="Calibri"/>
          <w:bCs/>
          <w:sz w:val="26"/>
          <w:szCs w:val="26"/>
          <w:lang w:val="vi-VN" w:eastAsia="vi-VN"/>
        </w:rPr>
        <w:lastRenderedPageBreak/>
        <w:t>cầu sinh viên Học viện Nông nghiệp Việt Nam được thực tập tại các doanh nghiệp, hợp tác xã vùng Tây Nguyên và Tây Nam Bộ rất cao. Tuy nhiên, do điều kiện đi lại, ăn ở xa xôi, tốn kém... nhiều sinh viên còn e ngại. Trong điều kiện trên, Bộ Nông nghiệp và Phát triển nông thôn nên tạo thêm các điều kiện, các diễn đàn để Học viện Nông nghiệp Việt Nam và các doanh nghiệp, hợp tác xã vùng nguyên liệu Tứ giác Long Xuyên và Tây Nguyên thực tập tốt nghiệp giao lưu, gặp gỡ, tìm hiểu rõ hơn nhu cầu hợp tác; hỗ trợ tài chính cho sinh viên thực tập tại các đơn vị này.</w:t>
      </w:r>
    </w:p>
    <w:p w14:paraId="2BFA0DB9" w14:textId="77777777" w:rsidR="000C3751" w:rsidRPr="00435609" w:rsidRDefault="000C3751" w:rsidP="000C3751">
      <w:pPr>
        <w:pStyle w:val="Vnbnnidung0"/>
        <w:tabs>
          <w:tab w:val="left" w:pos="709"/>
        </w:tabs>
        <w:adjustRightInd w:val="0"/>
        <w:snapToGrid w:val="0"/>
        <w:spacing w:after="0" w:line="312" w:lineRule="auto"/>
        <w:ind w:firstLine="720"/>
        <w:jc w:val="both"/>
        <w:rPr>
          <w:rFonts w:ascii="Times New Roman" w:hAnsi="Times New Roman" w:cs="Times New Roman"/>
          <w:lang w:val="vi-VN" w:eastAsia="vi-VN"/>
        </w:rPr>
      </w:pPr>
      <w:r w:rsidRPr="00435609">
        <w:rPr>
          <w:rFonts w:ascii="Times New Roman" w:hAnsi="Times New Roman" w:cs="Times New Roman"/>
          <w:lang w:val="vi-VN" w:eastAsia="vi-VN"/>
        </w:rPr>
        <w:t>-  Hoạt động hợp tác khác với doanh nghiệp trong năm học 2023-2024</w:t>
      </w:r>
    </w:p>
    <w:p w14:paraId="32ED2FB9" w14:textId="77777777" w:rsidR="000C3751" w:rsidRPr="00435609" w:rsidRDefault="000C3751" w:rsidP="000C3751">
      <w:pPr>
        <w:pStyle w:val="Vnbnnidung0"/>
        <w:tabs>
          <w:tab w:val="left" w:pos="709"/>
        </w:tabs>
        <w:adjustRightInd w:val="0"/>
        <w:snapToGrid w:val="0"/>
        <w:spacing w:after="0" w:line="312" w:lineRule="auto"/>
        <w:ind w:firstLine="720"/>
        <w:jc w:val="both"/>
        <w:rPr>
          <w:rFonts w:ascii="Times New Roman" w:hAnsi="Times New Roman" w:cs="Times New Roman"/>
          <w:bCs/>
          <w:iCs/>
          <w:lang w:val="vi-VN" w:eastAsia="vi-VN"/>
        </w:rPr>
      </w:pPr>
      <w:r w:rsidRPr="00435609">
        <w:rPr>
          <w:rFonts w:ascii="Times New Roman" w:hAnsi="Times New Roman" w:cs="Times New Roman"/>
          <w:iCs/>
          <w:lang w:val="vi-VN" w:eastAsia="vi-VN"/>
        </w:rPr>
        <w:t>+  Hoạt động hợp tác về tài trợ học bổng sinh viên</w:t>
      </w:r>
      <w:r w:rsidRPr="00435609">
        <w:rPr>
          <w:rFonts w:ascii="Times New Roman" w:hAnsi="Times New Roman" w:cs="Times New Roman"/>
          <w:b/>
          <w:iCs/>
          <w:lang w:val="vi-VN" w:eastAsia="vi-VN"/>
        </w:rPr>
        <w:t xml:space="preserve"> </w:t>
      </w:r>
    </w:p>
    <w:p w14:paraId="504CAAEA" w14:textId="77777777" w:rsidR="000C3751" w:rsidRPr="00435609" w:rsidRDefault="000C3751" w:rsidP="000C3751">
      <w:pPr>
        <w:pStyle w:val="Vnbnnidung0"/>
        <w:adjustRightInd w:val="0"/>
        <w:snapToGrid w:val="0"/>
        <w:spacing w:after="0" w:line="312" w:lineRule="auto"/>
        <w:ind w:firstLine="720"/>
        <w:jc w:val="both"/>
        <w:rPr>
          <w:rFonts w:ascii="Times New Roman" w:eastAsia="Times New Roman" w:hAnsi="Times New Roman" w:cs="Times New Roman"/>
          <w:lang w:val="vi-VN"/>
        </w:rPr>
      </w:pPr>
      <w:r w:rsidRPr="00435609">
        <w:rPr>
          <w:rFonts w:ascii="Times New Roman" w:hAnsi="Times New Roman" w:cs="Times New Roman"/>
          <w:bCs/>
          <w:lang w:val="vi-VN" w:eastAsia="vi-VN"/>
        </w:rPr>
        <w:t xml:space="preserve">Năm học 2023 – 2024 có 20 doanh nghiệp cấp Học bổng tài trợ sinh viên tổng số hơn 300 suất với tổng trị giá gần 2 tỷ đồng. Trong đó có một số doanh nghiệp tài trợ giá trị học bổng cao như: </w:t>
      </w:r>
      <w:r w:rsidRPr="00435609">
        <w:rPr>
          <w:rFonts w:ascii="Times New Roman" w:eastAsia="Times New Roman" w:hAnsi="Times New Roman" w:cs="Times New Roman"/>
          <w:lang w:val="vi-VN"/>
        </w:rPr>
        <w:t>Ngân hàng Vietcombank – CN Hoàng Mai, Quỹ Câu lạc bộ AEON 1% - Tập đoàn AEON, Quỹ học bổng quốc tế Nitori - Nhật Bản.</w:t>
      </w:r>
    </w:p>
    <w:p w14:paraId="2845C3A0" w14:textId="77777777" w:rsidR="000C3751" w:rsidRPr="00435609" w:rsidRDefault="000C3751" w:rsidP="000C3751">
      <w:pPr>
        <w:pStyle w:val="Vnbnnidung0"/>
        <w:adjustRightInd w:val="0"/>
        <w:snapToGrid w:val="0"/>
        <w:spacing w:after="0" w:line="312" w:lineRule="auto"/>
        <w:ind w:firstLine="720"/>
        <w:jc w:val="both"/>
        <w:rPr>
          <w:rFonts w:ascii="Times New Roman" w:hAnsi="Times New Roman" w:cs="Times New Roman"/>
          <w:i/>
          <w:iCs/>
          <w:lang w:val="vi-VN" w:eastAsia="vi-VN"/>
        </w:rPr>
      </w:pPr>
      <w:r w:rsidRPr="00435609">
        <w:rPr>
          <w:rFonts w:ascii="Times New Roman" w:eastAsia="Times New Roman" w:hAnsi="Times New Roman" w:cs="Times New Roman"/>
          <w:lang w:val="vi-VN"/>
        </w:rPr>
        <w:t xml:space="preserve"> Học bổng tài trợ chủ yếu dành cho sinh viên có kết quả học tập tốt và có điều kiện khó khăn, có phẩm chất vượt khó. Ngoài ra, có nhiều nội dung học bổng khác như: ươm mầm tài năng, thắp sáng ước mơ, khởi nghiệp, trong đó có một loại học bổng mới là học bổng lập nghiệp.</w:t>
      </w:r>
      <w:r w:rsidRPr="00435609">
        <w:rPr>
          <w:rFonts w:ascii="Times New Roman" w:hAnsi="Times New Roman" w:cs="Times New Roman"/>
          <w:i/>
          <w:iCs/>
          <w:lang w:val="vi-VN" w:eastAsia="vi-VN"/>
        </w:rPr>
        <w:t xml:space="preserve"> </w:t>
      </w:r>
    </w:p>
    <w:p w14:paraId="176EAB31" w14:textId="77777777" w:rsidR="000C3751" w:rsidRPr="00435609" w:rsidRDefault="000C3751" w:rsidP="000C3751">
      <w:pPr>
        <w:pStyle w:val="Vnbnnidung0"/>
        <w:tabs>
          <w:tab w:val="left" w:pos="709"/>
        </w:tabs>
        <w:adjustRightInd w:val="0"/>
        <w:snapToGrid w:val="0"/>
        <w:spacing w:after="0" w:line="312" w:lineRule="auto"/>
        <w:ind w:firstLine="720"/>
        <w:jc w:val="both"/>
        <w:rPr>
          <w:rFonts w:ascii="Times New Roman" w:eastAsia="Calibri" w:hAnsi="Times New Roman" w:cs="Times New Roman"/>
          <w:b/>
          <w:i/>
          <w:iCs/>
          <w:lang w:val="vi-VN" w:eastAsia="vi-VN"/>
        </w:rPr>
      </w:pPr>
      <w:r w:rsidRPr="00435609">
        <w:rPr>
          <w:rFonts w:ascii="Times New Roman" w:eastAsia="Calibri" w:hAnsi="Times New Roman" w:cs="Times New Roman"/>
          <w:iCs/>
          <w:lang w:val="vi-VN" w:eastAsia="vi-VN"/>
        </w:rPr>
        <w:t>+ Hoạt động hợp tác về khoa học và công nghệ</w:t>
      </w:r>
      <w:r w:rsidRPr="00435609">
        <w:rPr>
          <w:rFonts w:ascii="Times New Roman" w:eastAsia="Calibri" w:hAnsi="Times New Roman" w:cs="Times New Roman"/>
          <w:b/>
          <w:iCs/>
          <w:lang w:val="vi-VN" w:eastAsia="vi-VN"/>
        </w:rPr>
        <w:t xml:space="preserve"> </w:t>
      </w:r>
    </w:p>
    <w:p w14:paraId="0BAA3705" w14:textId="77777777" w:rsidR="000C3751" w:rsidRPr="00435609" w:rsidRDefault="000C3751" w:rsidP="000C3751">
      <w:pPr>
        <w:pStyle w:val="Vnbnnidung0"/>
        <w:adjustRightInd w:val="0"/>
        <w:snapToGrid w:val="0"/>
        <w:spacing w:after="0" w:line="312" w:lineRule="auto"/>
        <w:ind w:firstLine="720"/>
        <w:jc w:val="both"/>
        <w:rPr>
          <w:rFonts w:ascii="Times New Roman" w:eastAsia="Times New Roman" w:hAnsi="Times New Roman" w:cs="Times New Roman"/>
          <w:i/>
          <w:lang w:val="vi-VN"/>
        </w:rPr>
      </w:pPr>
      <w:r w:rsidRPr="00435609">
        <w:rPr>
          <w:lang w:val="vi-VN"/>
        </w:rPr>
        <w:t xml:space="preserve"> </w:t>
      </w:r>
      <w:r w:rsidRPr="00435609">
        <w:rPr>
          <w:rFonts w:ascii="Times New Roman" w:hAnsi="Times New Roman" w:cs="Times New Roman"/>
          <w:lang w:val="vi-VN"/>
        </w:rPr>
        <w:t>Học viện thực hiện một số hoạt động khoa học hiệu quả với một số doanh nghiệp. Điển hình là dự án “Phát triển nông nghiệp dưới hệ thống pin mặt trời tại Ninh Thuận” với Công ty Cổ phần đầu tư xây dựng Trung Nam có tổng kinh phí 9,5 tỷ đồng. Đến nay công ty đã cấp 2,3 tỷ đồng để thực hiện dự án. Các tiểu dự án đang triển khai gồm (1) D</w:t>
      </w:r>
      <w:r w:rsidRPr="00435609">
        <w:rPr>
          <w:rFonts w:ascii="Times New Roman" w:eastAsia="Times New Roman" w:hAnsi="Times New Roman" w:cs="Times New Roman"/>
          <w:iCs/>
          <w:lang w:val="vi-VN"/>
        </w:rPr>
        <w:t>ự án TN01. Tuyển chọn giống cỏ và xây dựng mô hình sản xuất cỏ cho chăn nuôi bò và cừu tại khu vực sản xuất điện mặt trời Ninh Thuận; (2) Dự án TN02. Phát triển chăn nuôi cừu tại khu vực sản xuất điện mặt trời Ninh Thuận; (3) Dự án TN03. Phát triển đàn bò tỉnh Ninh Thuận tại khu vực sản xuất điện mặt trời Ninh Thuận; (4) Dự án TN04. Tuyển chọn và xây dựng mô hình sản xuất sả, gừng trên đất sản xuất điện mặt trời tại Ninh Thuận.</w:t>
      </w:r>
    </w:p>
    <w:p w14:paraId="1C0D617B" w14:textId="77777777" w:rsidR="000C3751" w:rsidRPr="00435609" w:rsidRDefault="000C3751" w:rsidP="000C3751">
      <w:pPr>
        <w:pStyle w:val="Vnbnnidung0"/>
        <w:adjustRightInd w:val="0"/>
        <w:snapToGrid w:val="0"/>
        <w:spacing w:after="0" w:line="312" w:lineRule="auto"/>
        <w:ind w:firstLine="720"/>
        <w:jc w:val="both"/>
        <w:rPr>
          <w:rFonts w:ascii="Times New Roman" w:hAnsi="Times New Roman" w:cs="Times New Roman"/>
          <w:lang w:val="vi-VN"/>
        </w:rPr>
      </w:pPr>
      <w:r w:rsidRPr="00435609">
        <w:rPr>
          <w:rFonts w:ascii="Times New Roman" w:hAnsi="Times New Roman" w:cs="Times New Roman"/>
          <w:lang w:val="vi-VN"/>
        </w:rPr>
        <w:t>Đối với Tập đoàn Xuân Thiện, Học viện đã hợp tác nghiên cứu khoa học và chuyển giao công nghệ. Theo đó Tập đoàn đã hỗ trợ 500 triệu đồng để khảo sát đánh giá hiện trạng sử dụng, chất lượng đất, nước và hiện trạng sản xuất nông nghiệp (trồng trọt, chăn nuôi, thủy sản) tại Ngọc Lặc – Thanh Hóa, Ninh Bình và Đăk Lăk làm cơ sở để xây dựng các dự án nông nghiệp.</w:t>
      </w:r>
    </w:p>
    <w:p w14:paraId="48617B08" w14:textId="77777777" w:rsidR="000C3751" w:rsidRPr="00435609" w:rsidRDefault="000C3751" w:rsidP="000C3751">
      <w:pPr>
        <w:spacing w:line="312" w:lineRule="auto"/>
        <w:ind w:firstLine="720"/>
        <w:rPr>
          <w:b/>
          <w:bCs/>
          <w:i/>
          <w:iCs/>
          <w:spacing w:val="-4"/>
          <w:sz w:val="26"/>
          <w:szCs w:val="26"/>
          <w:shd w:val="clear" w:color="auto" w:fill="FFFFFF"/>
          <w:lang w:val="vi-VN"/>
        </w:rPr>
      </w:pPr>
      <w:r w:rsidRPr="00435609">
        <w:rPr>
          <w:bCs/>
          <w:iCs/>
          <w:spacing w:val="-4"/>
          <w:sz w:val="26"/>
          <w:szCs w:val="26"/>
          <w:lang w:val="vi-VN"/>
        </w:rPr>
        <w:t xml:space="preserve">+ </w:t>
      </w:r>
      <w:r w:rsidRPr="00435609">
        <w:rPr>
          <w:bCs/>
          <w:iCs/>
          <w:spacing w:val="-4"/>
          <w:sz w:val="26"/>
          <w:szCs w:val="26"/>
          <w:shd w:val="clear" w:color="auto" w:fill="FFFFFF"/>
          <w:lang w:val="vi-VN"/>
        </w:rPr>
        <w:t>Kết nối với doanh nghiệp để tuyển dụng sinh viên tốt nghiệp</w:t>
      </w:r>
      <w:r w:rsidRPr="00435609">
        <w:rPr>
          <w:b/>
          <w:bCs/>
          <w:iCs/>
          <w:spacing w:val="-4"/>
          <w:sz w:val="26"/>
          <w:szCs w:val="26"/>
          <w:shd w:val="clear" w:color="auto" w:fill="FFFFFF"/>
          <w:lang w:val="vi-VN"/>
        </w:rPr>
        <w:t xml:space="preserve"> </w:t>
      </w:r>
    </w:p>
    <w:p w14:paraId="5EB9C975" w14:textId="77777777" w:rsidR="000C3751" w:rsidRPr="00435609" w:rsidRDefault="000C3751" w:rsidP="000C3751">
      <w:pPr>
        <w:pStyle w:val="NormalWeb"/>
        <w:shd w:val="clear" w:color="auto" w:fill="FFFFFF"/>
        <w:spacing w:before="0" w:beforeAutospacing="0" w:after="0" w:afterAutospacing="0" w:line="312" w:lineRule="auto"/>
        <w:ind w:firstLine="720"/>
        <w:jc w:val="both"/>
        <w:textAlignment w:val="baseline"/>
        <w:rPr>
          <w:sz w:val="26"/>
          <w:szCs w:val="26"/>
          <w:lang w:val="vi-VN"/>
        </w:rPr>
      </w:pPr>
      <w:r w:rsidRPr="00435609">
        <w:rPr>
          <w:sz w:val="26"/>
          <w:szCs w:val="26"/>
          <w:lang w:val="vi-VN"/>
        </w:rPr>
        <w:t xml:space="preserve"> Ngày hội việc làm và kết nối doanh nghiệp năm 2024 của Học viện thu hút 55 doanh nghiệp tham gia, có gần 80 gian hàng trưng bày, giới thiệu sản phẩm, quảng bá thương hiệu và tuyển dụng các vị trí việc làm với gần 6000 cơ hội việc làm. </w:t>
      </w:r>
    </w:p>
    <w:p w14:paraId="18726865" w14:textId="77777777" w:rsidR="000C3751" w:rsidRPr="00435609" w:rsidRDefault="000C3751" w:rsidP="000C3751">
      <w:pPr>
        <w:pStyle w:val="NormalWeb"/>
        <w:shd w:val="clear" w:color="auto" w:fill="FFFFFF"/>
        <w:spacing w:before="0" w:beforeAutospacing="0" w:after="0" w:afterAutospacing="0" w:line="312" w:lineRule="auto"/>
        <w:ind w:firstLine="720"/>
        <w:jc w:val="both"/>
        <w:textAlignment w:val="baseline"/>
        <w:rPr>
          <w:sz w:val="26"/>
          <w:szCs w:val="26"/>
          <w:lang w:val="vi-VN"/>
        </w:rPr>
      </w:pPr>
      <w:r w:rsidRPr="00435609">
        <w:rPr>
          <w:sz w:val="26"/>
          <w:szCs w:val="26"/>
          <w:lang w:val="vi-VN"/>
        </w:rPr>
        <w:lastRenderedPageBreak/>
        <w:t xml:space="preserve"> Ngày hội việc làm có sự tham gia của sinh viên các trường đại học, cao đẳng, trung cấp khu vực Hà Nội và vùng lân cận. </w:t>
      </w:r>
    </w:p>
    <w:p w14:paraId="781BAAD4" w14:textId="77777777" w:rsidR="000C3751" w:rsidRPr="00435609" w:rsidRDefault="000C3751" w:rsidP="000C3751">
      <w:pPr>
        <w:pStyle w:val="NormalWeb"/>
        <w:shd w:val="clear" w:color="auto" w:fill="FFFFFF"/>
        <w:spacing w:before="0" w:beforeAutospacing="0" w:after="0" w:afterAutospacing="0" w:line="312" w:lineRule="auto"/>
        <w:ind w:firstLine="720"/>
        <w:jc w:val="both"/>
        <w:textAlignment w:val="baseline"/>
        <w:rPr>
          <w:sz w:val="26"/>
          <w:szCs w:val="26"/>
          <w:lang w:val="vi-VN"/>
        </w:rPr>
      </w:pPr>
      <w:r w:rsidRPr="00435609">
        <w:rPr>
          <w:sz w:val="26"/>
          <w:szCs w:val="26"/>
          <w:lang w:val="vi-VN"/>
        </w:rPr>
        <w:t xml:space="preserve"> Có 40 doanh nghiệp tham gia Ngày hội việc làm và kết nối doanh nghiệp hợp tác nhiều mặt, lĩnh vực với Học viện</w:t>
      </w:r>
      <w:r w:rsidRPr="00435609">
        <w:rPr>
          <w:sz w:val="26"/>
          <w:szCs w:val="26"/>
          <w:shd w:val="clear" w:color="auto" w:fill="FFFFFF"/>
          <w:lang w:val="vi-VN"/>
        </w:rPr>
        <w:t>; có 15 doanh nghiệp chỉ tham gia hoạt động tuyển dụng sinh viên tốt nghiệp thông qua Ngày hội việc làm và kết nối doanh nghiệp.</w:t>
      </w:r>
    </w:p>
    <w:p w14:paraId="58757370" w14:textId="77777777" w:rsidR="000C3751" w:rsidRPr="00435609" w:rsidRDefault="000C3751" w:rsidP="000C3751">
      <w:pPr>
        <w:pStyle w:val="NormalWeb"/>
        <w:shd w:val="clear" w:color="auto" w:fill="FFFFFF"/>
        <w:spacing w:before="0" w:beforeAutospacing="0" w:after="0" w:afterAutospacing="0" w:line="312" w:lineRule="auto"/>
        <w:ind w:firstLine="720"/>
        <w:jc w:val="both"/>
        <w:textAlignment w:val="baseline"/>
        <w:rPr>
          <w:sz w:val="26"/>
          <w:szCs w:val="26"/>
          <w:lang w:val="vi-VN"/>
        </w:rPr>
      </w:pPr>
      <w:r w:rsidRPr="00435609">
        <w:rPr>
          <w:sz w:val="26"/>
          <w:szCs w:val="26"/>
          <w:lang w:val="vi-VN"/>
        </w:rPr>
        <w:t xml:space="preserve"> Thông qua ngày hội, </w:t>
      </w:r>
      <w:r w:rsidRPr="00435609">
        <w:rPr>
          <w:sz w:val="26"/>
          <w:szCs w:val="26"/>
          <w:shd w:val="clear" w:color="auto" w:fill="FFFFFF"/>
          <w:lang w:val="vi-VN"/>
        </w:rPr>
        <w:t xml:space="preserve">doanh nghiệp tuyển dụng được nguồn lao động trẻ chất lượng cao, sinh viên chủ động kết nối với các nhà tuyển dụng tiềm năng, tìm hiểu và nắm bắt thị trường lao động để định hướng phát triển nghề nghiệp trong tương lai. Nhiều doanh nghiệp về Học viện tuyển dụng nhân lực ngay từ khi sinh viên vừa học xong năm thứ ba. </w:t>
      </w:r>
    </w:p>
    <w:p w14:paraId="2CDA633C" w14:textId="77777777" w:rsidR="00E33A21" w:rsidRPr="00435609" w:rsidRDefault="00E33A21" w:rsidP="00E33A21">
      <w:pPr>
        <w:spacing w:before="60" w:after="60" w:line="420" w:lineRule="exact"/>
        <w:ind w:firstLine="567"/>
        <w:jc w:val="both"/>
        <w:rPr>
          <w:b/>
          <w:i/>
          <w:color w:val="000000"/>
          <w:sz w:val="26"/>
          <w:szCs w:val="26"/>
          <w:lang w:val="vi-VN"/>
        </w:rPr>
      </w:pPr>
      <w:r w:rsidRPr="00435609">
        <w:rPr>
          <w:b/>
          <w:i/>
          <w:color w:val="000000"/>
          <w:sz w:val="26"/>
          <w:szCs w:val="26"/>
          <w:lang w:val="vi-VN"/>
        </w:rPr>
        <w:t>e) Kết quả hợp tác quốc tế; công tác trao đổi học sinh, sinh viên; tình hình triển khai thực hiện các chương trình, dự án; hoạt động nghiên cứu khoa học và chuyển giao công nghệ; kết quả thực</w:t>
      </w:r>
      <w:r w:rsidR="007B571A" w:rsidRPr="00435609">
        <w:rPr>
          <w:b/>
          <w:i/>
          <w:color w:val="000000"/>
          <w:sz w:val="26"/>
          <w:szCs w:val="26"/>
          <w:lang w:val="vi-VN"/>
        </w:rPr>
        <w:t xml:space="preserve"> hiện phong trào khởi nghiệp, đổ</w:t>
      </w:r>
      <w:r w:rsidRPr="00435609">
        <w:rPr>
          <w:b/>
          <w:i/>
          <w:color w:val="000000"/>
          <w:sz w:val="26"/>
          <w:szCs w:val="26"/>
          <w:lang w:val="vi-VN"/>
        </w:rPr>
        <w:t>i mới sáng tạo throng học sinh, sinh viên của trường.</w:t>
      </w:r>
    </w:p>
    <w:p w14:paraId="511DBC94" w14:textId="77777777" w:rsidR="00E33A21" w:rsidRPr="00E56AEB" w:rsidRDefault="00E33A21" w:rsidP="006B03AC">
      <w:pPr>
        <w:spacing w:after="120" w:line="276" w:lineRule="auto"/>
        <w:ind w:firstLine="567"/>
        <w:jc w:val="both"/>
        <w:rPr>
          <w:b/>
          <w:bCs/>
          <w:i/>
          <w:sz w:val="26"/>
          <w:szCs w:val="26"/>
          <w:lang w:val="de-DE"/>
        </w:rPr>
      </w:pPr>
      <w:r w:rsidRPr="00E56AEB">
        <w:rPr>
          <w:b/>
          <w:bCs/>
          <w:i/>
          <w:sz w:val="26"/>
          <w:szCs w:val="26"/>
          <w:lang w:val="de-DE"/>
        </w:rPr>
        <w:t xml:space="preserve">- </w:t>
      </w:r>
      <w:r w:rsidRPr="00E56AEB">
        <w:rPr>
          <w:bCs/>
          <w:i/>
          <w:sz w:val="26"/>
          <w:szCs w:val="26"/>
          <w:lang w:val="de-DE"/>
        </w:rPr>
        <w:t>Kết quả thực hiện các nhiệm vụ hợp tác quốc tế giai đoạn 2022-2024 và kế hoạch giai đoạn 2025-2027</w:t>
      </w:r>
    </w:p>
    <w:p w14:paraId="7CD8540D" w14:textId="77777777" w:rsidR="00E33A21" w:rsidRPr="00E56AEB" w:rsidRDefault="00E33A21" w:rsidP="00E33A21">
      <w:pPr>
        <w:widowControl w:val="0"/>
        <w:shd w:val="clear" w:color="auto" w:fill="FFFFFF"/>
        <w:spacing w:after="120"/>
        <w:ind w:firstLine="709"/>
        <w:jc w:val="both"/>
        <w:rPr>
          <w:bCs/>
          <w:iCs/>
          <w:sz w:val="26"/>
          <w:szCs w:val="26"/>
          <w:lang w:val="de-DE"/>
        </w:rPr>
      </w:pPr>
      <w:r w:rsidRPr="00E56AEB">
        <w:rPr>
          <w:bCs/>
          <w:iCs/>
          <w:sz w:val="26"/>
          <w:szCs w:val="26"/>
          <w:lang w:val="de-DE"/>
        </w:rPr>
        <w:t xml:space="preserve">+ Tổ chức, quản lý đoàn ra, đoàn vào:  </w:t>
      </w:r>
    </w:p>
    <w:p w14:paraId="121D7235" w14:textId="77777777" w:rsidR="00E33A21" w:rsidRPr="00E56AEB" w:rsidRDefault="00E33A21" w:rsidP="00E33A21">
      <w:pPr>
        <w:spacing w:after="120" w:line="276" w:lineRule="auto"/>
        <w:ind w:firstLine="720"/>
        <w:jc w:val="both"/>
        <w:rPr>
          <w:sz w:val="26"/>
          <w:szCs w:val="26"/>
          <w:lang w:val="de-DE"/>
        </w:rPr>
      </w:pPr>
      <w:r w:rsidRPr="00E56AEB">
        <w:rPr>
          <w:sz w:val="26"/>
          <w:szCs w:val="26"/>
          <w:lang w:val="de-DE"/>
        </w:rPr>
        <w:t xml:space="preserve">Về công tác đoàn vào, trong giai đoạn 2022-2024, Học viện đã đón tiếp 717 lượt khách quốc tế đến từ các trường đại học, viện nghiên cứu, cơ quan tổ chức từ các nước đến tham quan, tìm hiểu để phát triển quan hệ đối tác hoặc thực hiện các hoạt động hợp tác. So với cùng kỳ giai đoạn 2020-2022 (121 lượt khách), số lượt khách quốc tế đến thăm và làm việc tại Học viện giai đoạn 2022-2024 gấp gần 06 lần. </w:t>
      </w:r>
    </w:p>
    <w:p w14:paraId="0EB31BEC" w14:textId="77777777" w:rsidR="00E33A21" w:rsidRPr="00E56AEB" w:rsidRDefault="00E33A21" w:rsidP="00E33A21">
      <w:pPr>
        <w:spacing w:after="120" w:line="276" w:lineRule="auto"/>
        <w:ind w:firstLine="720"/>
        <w:jc w:val="both"/>
        <w:rPr>
          <w:sz w:val="26"/>
          <w:szCs w:val="26"/>
          <w:lang w:val="de-DE"/>
        </w:rPr>
      </w:pPr>
      <w:r w:rsidRPr="00E56AEB">
        <w:rPr>
          <w:sz w:val="26"/>
          <w:szCs w:val="26"/>
          <w:lang w:val="de-DE"/>
        </w:rPr>
        <w:t>Đối với công tác quản lý đoàn ra, hàng năm, Học viện triển khai tới các đơn vị trong Học viện xây dựng kế hoạch đi đào tạo, bồi dưỡng, hội</w:t>
      </w:r>
      <w:r w:rsidR="007B405D" w:rsidRPr="00E56AEB">
        <w:rPr>
          <w:sz w:val="26"/>
          <w:szCs w:val="26"/>
          <w:lang w:val="de-DE"/>
        </w:rPr>
        <w:t xml:space="preserve"> thảo, hội nghị tại nước ngoài</w:t>
      </w:r>
      <w:r w:rsidRPr="00E56AEB">
        <w:rPr>
          <w:sz w:val="26"/>
          <w:szCs w:val="26"/>
          <w:lang w:val="de-DE"/>
        </w:rPr>
        <w:t xml:space="preserve">. </w:t>
      </w:r>
    </w:p>
    <w:p w14:paraId="0842D6D9" w14:textId="77777777" w:rsidR="00E33A21" w:rsidRPr="00E56AEB" w:rsidRDefault="00E33A21" w:rsidP="007B405D">
      <w:pPr>
        <w:spacing w:after="120" w:line="276" w:lineRule="auto"/>
        <w:jc w:val="both"/>
        <w:rPr>
          <w:rFonts w:eastAsia="MS Mincho"/>
          <w:sz w:val="26"/>
          <w:szCs w:val="26"/>
          <w:lang w:val="de-DE"/>
        </w:rPr>
      </w:pPr>
      <w:r w:rsidRPr="00E56AEB">
        <w:rPr>
          <w:rFonts w:eastAsia="MS Mincho"/>
          <w:sz w:val="26"/>
          <w:szCs w:val="26"/>
          <w:lang w:val="de-DE"/>
        </w:rPr>
        <w:tab/>
        <w:t>+  Ký kết và thực hiện biên bản ghi nhớ, thỏa thuận hợp tác</w:t>
      </w:r>
      <w:r w:rsidR="007B405D" w:rsidRPr="00E56AEB">
        <w:rPr>
          <w:rFonts w:eastAsia="MS Mincho"/>
          <w:sz w:val="26"/>
          <w:szCs w:val="26"/>
          <w:lang w:val="de-DE"/>
        </w:rPr>
        <w:t xml:space="preserve">: </w:t>
      </w:r>
      <w:r w:rsidRPr="00E56AEB">
        <w:rPr>
          <w:sz w:val="26"/>
          <w:szCs w:val="26"/>
          <w:lang w:val="de-DE"/>
        </w:rPr>
        <w:t xml:space="preserve">Trong giai đoạn 2022-8/2024, </w:t>
      </w:r>
      <w:r w:rsidRPr="00435609">
        <w:rPr>
          <w:sz w:val="26"/>
          <w:szCs w:val="26"/>
          <w:lang w:val="de-DE"/>
        </w:rPr>
        <w:t>Học viện đã ký mới và gia hạn 48 biên bản ghi nhớ, thỏa thuận hợp tác về trao đổi cán bộ, giảng viên, sinh viên, phối hợp nghiên cứu với các tổ chức quốc tế, viện</w:t>
      </w:r>
      <w:r w:rsidRPr="00E56AEB">
        <w:rPr>
          <w:sz w:val="26"/>
          <w:szCs w:val="26"/>
          <w:lang w:val="vi-VN"/>
        </w:rPr>
        <w:t xml:space="preserve"> nghiên cứu, </w:t>
      </w:r>
      <w:r w:rsidRPr="00435609">
        <w:rPr>
          <w:sz w:val="26"/>
          <w:szCs w:val="26"/>
          <w:lang w:val="de-DE"/>
        </w:rPr>
        <w:t>trường đại học</w:t>
      </w:r>
      <w:r w:rsidRPr="00E56AEB">
        <w:rPr>
          <w:sz w:val="26"/>
          <w:szCs w:val="26"/>
          <w:lang w:val="vi-VN"/>
        </w:rPr>
        <w:t xml:space="preserve"> và</w:t>
      </w:r>
      <w:r w:rsidRPr="00435609">
        <w:rPr>
          <w:sz w:val="26"/>
          <w:szCs w:val="26"/>
          <w:lang w:val="de-DE"/>
        </w:rPr>
        <w:t xml:space="preserve"> doanh nghiệp nước ngoài, tỷ lệ ký kết và gia hạn tăng 9% so với giai đoạn 2020-2022 (44 biên bản).</w:t>
      </w:r>
    </w:p>
    <w:p w14:paraId="0738F975" w14:textId="77777777" w:rsidR="00E33A21" w:rsidRPr="00E56AEB" w:rsidRDefault="00E33A21" w:rsidP="007B405D">
      <w:pPr>
        <w:widowControl w:val="0"/>
        <w:shd w:val="clear" w:color="auto" w:fill="FFFFFF"/>
        <w:spacing w:after="120"/>
        <w:ind w:firstLine="709"/>
        <w:jc w:val="both"/>
        <w:rPr>
          <w:bCs/>
          <w:iCs/>
          <w:sz w:val="26"/>
          <w:szCs w:val="26"/>
          <w:lang w:val="de-DE"/>
        </w:rPr>
      </w:pPr>
      <w:r w:rsidRPr="00E56AEB">
        <w:rPr>
          <w:bCs/>
          <w:iCs/>
          <w:sz w:val="26"/>
          <w:szCs w:val="26"/>
          <w:lang w:val="de-DE"/>
        </w:rPr>
        <w:t xml:space="preserve">+ Tổ chức và quản lý hội nghị, hội thảo quốc tế: </w:t>
      </w:r>
      <w:r w:rsidRPr="00E56AEB">
        <w:rPr>
          <w:sz w:val="26"/>
          <w:szCs w:val="26"/>
          <w:lang w:val="de-DE"/>
        </w:rPr>
        <w:t>Trong giai đoạn 2022-8/2024, Học viện đã tổ chức thành công 27 khóa tập huấn/hội thảo quốc tế với sự tham gia của 1.858 đại biểu trong và ngoài nước. Nội dung của các tập huấn/hội thảo tập trung vào các vấn đề về nông nghiệp sinh thái, kỹ thuật nuôi ong, nâng cao nguồn nhân lực ngành chăn nuôi, công nghệ thực phẩm... Số lượng hội thảo tổ chức giai đoạn này tương đương với tổng số đại biểu trong nước và quốc tế tham gia đạt 84% so với giai đoạn 2020-2022 (27 hội thảo, 2210 đại biểu).</w:t>
      </w:r>
    </w:p>
    <w:p w14:paraId="2FC6C0F1" w14:textId="77777777" w:rsidR="00E33A21" w:rsidRPr="00E56AEB" w:rsidRDefault="00E33A21" w:rsidP="007B405D">
      <w:pPr>
        <w:widowControl w:val="0"/>
        <w:shd w:val="clear" w:color="auto" w:fill="FFFFFF"/>
        <w:spacing w:after="120"/>
        <w:ind w:firstLine="709"/>
        <w:jc w:val="both"/>
        <w:rPr>
          <w:bCs/>
          <w:iCs/>
          <w:sz w:val="26"/>
          <w:szCs w:val="26"/>
          <w:lang w:val="de-DE"/>
        </w:rPr>
      </w:pPr>
      <w:r w:rsidRPr="00E56AEB">
        <w:rPr>
          <w:bCs/>
          <w:iCs/>
          <w:sz w:val="26"/>
          <w:szCs w:val="26"/>
          <w:lang w:val="de-DE"/>
        </w:rPr>
        <w:t>+ Trao đổi sinh viên quốc tế</w:t>
      </w:r>
      <w:r w:rsidR="007B405D" w:rsidRPr="00E56AEB">
        <w:rPr>
          <w:bCs/>
          <w:iCs/>
          <w:sz w:val="26"/>
          <w:szCs w:val="26"/>
          <w:lang w:val="de-DE"/>
        </w:rPr>
        <w:t xml:space="preserve">: </w:t>
      </w:r>
      <w:r w:rsidRPr="00E56AEB">
        <w:rPr>
          <w:sz w:val="26"/>
          <w:szCs w:val="26"/>
          <w:lang w:val="de-DE"/>
        </w:rPr>
        <w:t xml:space="preserve">Trong giai đoạn 2022-8/2024, trung bình hàng năm </w:t>
      </w:r>
      <w:r w:rsidRPr="00E56AEB">
        <w:rPr>
          <w:sz w:val="26"/>
          <w:szCs w:val="26"/>
          <w:lang w:val="de-DE"/>
        </w:rPr>
        <w:lastRenderedPageBreak/>
        <w:t xml:space="preserve">Học viện thông báo khoảng 40 chương trình quốc tế các loại gồm học bổng, tài trợ nghiên cứu, tập huấn, hội nghị, hội thảo, du học, trao đổi...Theo đó, Học viện tổ chức các hoạt động trao đổi, đào tạo ngắn hạn cho 93 sinh viên quốc tế và cử 54 sinh viên tham gia các chương trình trao đổi ở nước ngoài. Số lượng sinh viên quốc tế đến gấp 3 lần và số lượng sinh viên Học viện cử đi gấp 2 lần so với giai đoạn 2020-2022. </w:t>
      </w:r>
    </w:p>
    <w:p w14:paraId="76E4A34E" w14:textId="77777777" w:rsidR="00E33A21" w:rsidRPr="00E56AEB" w:rsidRDefault="00E33A21" w:rsidP="007B405D">
      <w:pPr>
        <w:widowControl w:val="0"/>
        <w:shd w:val="clear" w:color="auto" w:fill="FFFFFF"/>
        <w:spacing w:after="120"/>
        <w:ind w:firstLine="709"/>
        <w:jc w:val="both"/>
        <w:rPr>
          <w:bCs/>
          <w:iCs/>
          <w:sz w:val="26"/>
          <w:szCs w:val="26"/>
          <w:lang w:val="de-DE"/>
        </w:rPr>
      </w:pPr>
      <w:r w:rsidRPr="00E56AEB">
        <w:rPr>
          <w:bCs/>
          <w:iCs/>
          <w:sz w:val="26"/>
          <w:szCs w:val="26"/>
          <w:lang w:val="de-DE"/>
        </w:rPr>
        <w:t>+ Dự án hợp tác quốc tế</w:t>
      </w:r>
      <w:r w:rsidR="007B405D" w:rsidRPr="00E56AEB">
        <w:rPr>
          <w:bCs/>
          <w:iCs/>
          <w:sz w:val="26"/>
          <w:szCs w:val="26"/>
          <w:lang w:val="de-DE"/>
        </w:rPr>
        <w:t xml:space="preserve">: </w:t>
      </w:r>
      <w:r w:rsidRPr="00E56AEB">
        <w:rPr>
          <w:sz w:val="26"/>
          <w:szCs w:val="26"/>
          <w:lang w:val="de-DE"/>
        </w:rPr>
        <w:t>Trong giai đoạn 2022-8/2024, Học viện tiếp nhận và ký thỏa thuận thực hiện 20 dự án hợp tác/hợp đồng dịch vụ với tổng số vốn tài trợ hơn 354 tỷ đồng (tính tổng kinh phí cả dự án/hợp đồng). Số lượng dự án tiếp nhận trong giai đoạn này đạt 45% và tổng số vốn tài trợ vượt gần gấp 3 lần so với giai đoạn 2020-2022 (129 tỷ đồng).</w:t>
      </w:r>
    </w:p>
    <w:p w14:paraId="3C59EBA9" w14:textId="77777777" w:rsidR="002325C7" w:rsidRPr="00E56AEB" w:rsidRDefault="00E33A21" w:rsidP="007B405D">
      <w:pPr>
        <w:spacing w:after="120" w:line="276" w:lineRule="auto"/>
        <w:ind w:firstLine="720"/>
        <w:jc w:val="both"/>
        <w:rPr>
          <w:bCs/>
          <w:iCs/>
          <w:sz w:val="26"/>
          <w:szCs w:val="26"/>
          <w:lang w:val="de-DE"/>
        </w:rPr>
      </w:pPr>
      <w:r w:rsidRPr="00E56AEB">
        <w:rPr>
          <w:bCs/>
          <w:iCs/>
          <w:sz w:val="26"/>
          <w:szCs w:val="26"/>
          <w:lang w:val="de-DE"/>
        </w:rPr>
        <w:t>+  Đào tạo lưu học sinh</w:t>
      </w:r>
      <w:r w:rsidR="007B405D" w:rsidRPr="00E56AEB">
        <w:rPr>
          <w:bCs/>
          <w:iCs/>
          <w:sz w:val="26"/>
          <w:szCs w:val="26"/>
          <w:lang w:val="de-DE"/>
        </w:rPr>
        <w:t xml:space="preserve">: </w:t>
      </w:r>
      <w:r w:rsidRPr="00E56AEB">
        <w:rPr>
          <w:sz w:val="26"/>
          <w:szCs w:val="26"/>
          <w:lang w:val="vi-VN"/>
        </w:rPr>
        <w:t xml:space="preserve">Trong giai đoạn 2022-8/2024, Học viện </w:t>
      </w:r>
      <w:r w:rsidRPr="00E56AEB">
        <w:rPr>
          <w:sz w:val="26"/>
          <w:szCs w:val="26"/>
          <w:lang w:val="de-DE"/>
        </w:rPr>
        <w:t xml:space="preserve">tham gia đào tạo nhân lực cho các nước Lào, Campuchia, Angola, Mozambique, Nhật Bản, Mỹ, Hàn Quốc. Học viện </w:t>
      </w:r>
      <w:r w:rsidRPr="00E56AEB">
        <w:rPr>
          <w:sz w:val="26"/>
          <w:szCs w:val="26"/>
          <w:lang w:val="vi-VN"/>
        </w:rPr>
        <w:t xml:space="preserve">tiếp nhận </w:t>
      </w:r>
      <w:r w:rsidRPr="00E56AEB">
        <w:rPr>
          <w:sz w:val="26"/>
          <w:szCs w:val="26"/>
          <w:lang w:val="de-DE"/>
        </w:rPr>
        <w:t xml:space="preserve">mới </w:t>
      </w:r>
      <w:r w:rsidRPr="00E56AEB">
        <w:rPr>
          <w:sz w:val="26"/>
          <w:szCs w:val="26"/>
          <w:lang w:val="vi-VN"/>
        </w:rPr>
        <w:t xml:space="preserve">đào tạo dài hạn </w:t>
      </w:r>
      <w:r w:rsidRPr="00E56AEB">
        <w:rPr>
          <w:sz w:val="26"/>
          <w:szCs w:val="26"/>
          <w:lang w:val="de-DE"/>
        </w:rPr>
        <w:t>48</w:t>
      </w:r>
      <w:r w:rsidRPr="00E56AEB">
        <w:rPr>
          <w:sz w:val="26"/>
          <w:szCs w:val="26"/>
          <w:lang w:val="vi-VN"/>
        </w:rPr>
        <w:t xml:space="preserve"> lưu học sinh cùng với </w:t>
      </w:r>
      <w:r w:rsidRPr="00E56AEB">
        <w:rPr>
          <w:sz w:val="26"/>
          <w:szCs w:val="26"/>
          <w:lang w:val="de-DE"/>
        </w:rPr>
        <w:t>115</w:t>
      </w:r>
      <w:r w:rsidRPr="00E56AEB">
        <w:rPr>
          <w:sz w:val="26"/>
          <w:szCs w:val="26"/>
          <w:lang w:val="vi-VN"/>
        </w:rPr>
        <w:t xml:space="preserve"> lưu học sinh đang được đào tạo từ những năm trước. Số lưu học sinh quốc tế tốt nghiệp các bậc đào tạo trong giai đoạn này là 73 sinh viên. So với giai đoạn 2020-2022, số lưu học sinh tiếp nhận mới đạt gần 61%, số lưu học sinh đang được đào tạo tăng 19% và số lưu học sinh đã tốt nghiệp tăng khoảng 3%.</w:t>
      </w:r>
    </w:p>
    <w:p w14:paraId="60B283D7" w14:textId="77777777" w:rsidR="002325C7" w:rsidRPr="006B03AC" w:rsidRDefault="002325C7" w:rsidP="002325C7">
      <w:pPr>
        <w:jc w:val="center"/>
        <w:rPr>
          <w:bCs/>
          <w:iCs/>
          <w:szCs w:val="26"/>
          <w:lang w:val="de-DE"/>
        </w:rPr>
      </w:pPr>
      <w:r w:rsidRPr="006B03AC">
        <w:rPr>
          <w:bCs/>
          <w:iCs/>
          <w:szCs w:val="26"/>
          <w:lang w:val="de-DE"/>
        </w:rPr>
        <w:t>Bảng 1 Số lượng tổ chức, cơ quan nước ngoài hợp tác với Học viện giai đoạn 2022-8/2024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943"/>
        <w:gridCol w:w="742"/>
        <w:gridCol w:w="1148"/>
        <w:gridCol w:w="1079"/>
        <w:gridCol w:w="1178"/>
        <w:gridCol w:w="924"/>
        <w:gridCol w:w="890"/>
        <w:gridCol w:w="1028"/>
      </w:tblGrid>
      <w:tr w:rsidR="002325C7" w:rsidRPr="007B405D" w14:paraId="03DC9EFA" w14:textId="77777777" w:rsidTr="006941E8">
        <w:trPr>
          <w:trHeight w:val="737"/>
          <w:jc w:val="center"/>
        </w:trPr>
        <w:tc>
          <w:tcPr>
            <w:tcW w:w="623" w:type="pct"/>
            <w:shd w:val="clear" w:color="auto" w:fill="auto"/>
            <w:noWrap/>
            <w:vAlign w:val="center"/>
            <w:hideMark/>
          </w:tcPr>
          <w:p w14:paraId="3B78B9F4" w14:textId="77777777" w:rsidR="002325C7" w:rsidRPr="007B405D" w:rsidRDefault="002325C7" w:rsidP="006941E8">
            <w:pPr>
              <w:jc w:val="center"/>
              <w:rPr>
                <w:bCs/>
                <w:color w:val="000000"/>
                <w:lang w:eastAsia="zh-CN"/>
              </w:rPr>
            </w:pPr>
            <w:r w:rsidRPr="007B405D">
              <w:rPr>
                <w:bCs/>
                <w:color w:val="000000"/>
                <w:lang w:eastAsia="zh-CN"/>
              </w:rPr>
              <w:t>Năm</w:t>
            </w:r>
          </w:p>
        </w:tc>
        <w:tc>
          <w:tcPr>
            <w:tcW w:w="520" w:type="pct"/>
            <w:shd w:val="clear" w:color="auto" w:fill="auto"/>
            <w:vAlign w:val="center"/>
            <w:hideMark/>
          </w:tcPr>
          <w:p w14:paraId="2182A03B" w14:textId="77777777" w:rsidR="002325C7" w:rsidRPr="007B405D" w:rsidRDefault="002325C7" w:rsidP="006941E8">
            <w:pPr>
              <w:jc w:val="center"/>
              <w:rPr>
                <w:bCs/>
                <w:iCs/>
                <w:color w:val="000000"/>
                <w:lang w:eastAsia="zh-CN"/>
              </w:rPr>
            </w:pPr>
            <w:r w:rsidRPr="007B405D">
              <w:rPr>
                <w:bCs/>
                <w:iCs/>
                <w:color w:val="000000"/>
                <w:lang w:eastAsia="zh-CN"/>
              </w:rPr>
              <w:t xml:space="preserve">Tổng </w:t>
            </w:r>
            <w:r w:rsidRPr="007B405D">
              <w:rPr>
                <w:bCs/>
                <w:iCs/>
                <w:color w:val="000000"/>
                <w:lang w:eastAsia="zh-CN"/>
              </w:rPr>
              <w:br/>
              <w:t xml:space="preserve">số </w:t>
            </w:r>
          </w:p>
        </w:tc>
        <w:tc>
          <w:tcPr>
            <w:tcW w:w="409" w:type="pct"/>
            <w:shd w:val="clear" w:color="auto" w:fill="auto"/>
            <w:vAlign w:val="center"/>
            <w:hideMark/>
          </w:tcPr>
          <w:p w14:paraId="2B49C210" w14:textId="77777777" w:rsidR="002325C7" w:rsidRPr="007B405D" w:rsidRDefault="002325C7" w:rsidP="006941E8">
            <w:pPr>
              <w:jc w:val="center"/>
              <w:rPr>
                <w:bCs/>
                <w:iCs/>
                <w:color w:val="000000"/>
                <w:lang w:eastAsia="zh-CN"/>
              </w:rPr>
            </w:pPr>
            <w:r w:rsidRPr="007B405D">
              <w:rPr>
                <w:bCs/>
                <w:iCs/>
                <w:color w:val="000000"/>
                <w:lang w:eastAsia="zh-CN"/>
              </w:rPr>
              <w:t xml:space="preserve">Cơ sở </w:t>
            </w:r>
            <w:r w:rsidRPr="007B405D">
              <w:rPr>
                <w:bCs/>
                <w:iCs/>
                <w:color w:val="000000"/>
                <w:lang w:eastAsia="zh-CN"/>
              </w:rPr>
              <w:br/>
              <w:t xml:space="preserve">đào tạo </w:t>
            </w:r>
          </w:p>
        </w:tc>
        <w:tc>
          <w:tcPr>
            <w:tcW w:w="633" w:type="pct"/>
            <w:shd w:val="clear" w:color="auto" w:fill="auto"/>
            <w:vAlign w:val="center"/>
            <w:hideMark/>
          </w:tcPr>
          <w:p w14:paraId="47A6B65B" w14:textId="77777777" w:rsidR="002325C7" w:rsidRPr="007B405D" w:rsidRDefault="002325C7" w:rsidP="006941E8">
            <w:pPr>
              <w:jc w:val="center"/>
              <w:rPr>
                <w:bCs/>
                <w:iCs/>
                <w:color w:val="000000"/>
                <w:lang w:eastAsia="zh-CN"/>
              </w:rPr>
            </w:pPr>
            <w:r w:rsidRPr="007B405D">
              <w:rPr>
                <w:bCs/>
                <w:iCs/>
                <w:color w:val="000000"/>
                <w:lang w:eastAsia="zh-CN"/>
              </w:rPr>
              <w:t xml:space="preserve">Doanh nghiệp </w:t>
            </w:r>
          </w:p>
        </w:tc>
        <w:tc>
          <w:tcPr>
            <w:tcW w:w="595" w:type="pct"/>
            <w:shd w:val="clear" w:color="auto" w:fill="auto"/>
            <w:vAlign w:val="center"/>
            <w:hideMark/>
          </w:tcPr>
          <w:p w14:paraId="61AE9307" w14:textId="77777777" w:rsidR="002325C7" w:rsidRPr="007B405D" w:rsidRDefault="002325C7" w:rsidP="006941E8">
            <w:pPr>
              <w:jc w:val="center"/>
              <w:rPr>
                <w:bCs/>
                <w:iCs/>
                <w:color w:val="000000"/>
                <w:lang w:eastAsia="zh-CN"/>
              </w:rPr>
            </w:pPr>
            <w:r w:rsidRPr="007B405D">
              <w:rPr>
                <w:bCs/>
                <w:iCs/>
                <w:color w:val="000000"/>
                <w:lang w:eastAsia="zh-CN"/>
              </w:rPr>
              <w:t xml:space="preserve">Trung tâm, Viện </w:t>
            </w:r>
          </w:p>
        </w:tc>
        <w:tc>
          <w:tcPr>
            <w:tcW w:w="650" w:type="pct"/>
            <w:shd w:val="clear" w:color="auto" w:fill="auto"/>
            <w:vAlign w:val="center"/>
            <w:hideMark/>
          </w:tcPr>
          <w:p w14:paraId="014B68CF" w14:textId="77777777" w:rsidR="002325C7" w:rsidRPr="007B405D" w:rsidRDefault="002325C7" w:rsidP="006941E8">
            <w:pPr>
              <w:jc w:val="center"/>
              <w:rPr>
                <w:bCs/>
                <w:iCs/>
                <w:color w:val="000000"/>
                <w:lang w:eastAsia="zh-CN"/>
              </w:rPr>
            </w:pPr>
            <w:r w:rsidRPr="007B405D">
              <w:rPr>
                <w:bCs/>
                <w:iCs/>
                <w:color w:val="000000"/>
                <w:lang w:eastAsia="zh-CN"/>
              </w:rPr>
              <w:t>Văn phòng, chi nhánh</w:t>
            </w:r>
          </w:p>
        </w:tc>
        <w:tc>
          <w:tcPr>
            <w:tcW w:w="510" w:type="pct"/>
            <w:shd w:val="clear" w:color="auto" w:fill="auto"/>
            <w:vAlign w:val="center"/>
            <w:hideMark/>
          </w:tcPr>
          <w:p w14:paraId="45008AF1" w14:textId="77777777" w:rsidR="002325C7" w:rsidRPr="007B405D" w:rsidRDefault="002325C7" w:rsidP="006941E8">
            <w:pPr>
              <w:jc w:val="center"/>
              <w:rPr>
                <w:bCs/>
                <w:iCs/>
                <w:color w:val="000000"/>
                <w:lang w:eastAsia="zh-CN"/>
              </w:rPr>
            </w:pPr>
            <w:r w:rsidRPr="007B405D">
              <w:rPr>
                <w:bCs/>
                <w:iCs/>
                <w:color w:val="000000"/>
                <w:lang w:eastAsia="zh-CN"/>
              </w:rPr>
              <w:t>Đại sứ quán</w:t>
            </w:r>
          </w:p>
        </w:tc>
        <w:tc>
          <w:tcPr>
            <w:tcW w:w="491" w:type="pct"/>
            <w:shd w:val="clear" w:color="auto" w:fill="auto"/>
            <w:vAlign w:val="center"/>
            <w:hideMark/>
          </w:tcPr>
          <w:p w14:paraId="40DF0CCE" w14:textId="77777777" w:rsidR="002325C7" w:rsidRPr="007B405D" w:rsidRDefault="002325C7" w:rsidP="006941E8">
            <w:pPr>
              <w:jc w:val="center"/>
              <w:rPr>
                <w:bCs/>
                <w:iCs/>
                <w:color w:val="000000"/>
                <w:lang w:eastAsia="zh-CN"/>
              </w:rPr>
            </w:pPr>
            <w:r w:rsidRPr="007B405D">
              <w:rPr>
                <w:bCs/>
                <w:iCs/>
                <w:color w:val="000000"/>
                <w:lang w:eastAsia="zh-CN"/>
              </w:rPr>
              <w:t>Hiệp hội</w:t>
            </w:r>
          </w:p>
        </w:tc>
        <w:tc>
          <w:tcPr>
            <w:tcW w:w="567" w:type="pct"/>
            <w:shd w:val="clear" w:color="auto" w:fill="auto"/>
            <w:vAlign w:val="center"/>
            <w:hideMark/>
          </w:tcPr>
          <w:p w14:paraId="47FB0431" w14:textId="77777777" w:rsidR="002325C7" w:rsidRPr="007B405D" w:rsidRDefault="002325C7" w:rsidP="006941E8">
            <w:pPr>
              <w:jc w:val="center"/>
              <w:rPr>
                <w:bCs/>
                <w:iCs/>
                <w:color w:val="000000"/>
                <w:lang w:eastAsia="zh-CN"/>
              </w:rPr>
            </w:pPr>
            <w:r w:rsidRPr="007B405D">
              <w:rPr>
                <w:bCs/>
                <w:iCs/>
                <w:color w:val="000000"/>
                <w:lang w:eastAsia="zh-CN"/>
              </w:rPr>
              <w:t>Mạng lưới</w:t>
            </w:r>
          </w:p>
        </w:tc>
      </w:tr>
      <w:tr w:rsidR="002325C7" w:rsidRPr="007B405D" w14:paraId="57E3F58E" w14:textId="77777777" w:rsidTr="006941E8">
        <w:trPr>
          <w:trHeight w:val="312"/>
          <w:jc w:val="center"/>
        </w:trPr>
        <w:tc>
          <w:tcPr>
            <w:tcW w:w="623" w:type="pct"/>
            <w:shd w:val="clear" w:color="auto" w:fill="auto"/>
            <w:noWrap/>
            <w:vAlign w:val="bottom"/>
            <w:hideMark/>
          </w:tcPr>
          <w:p w14:paraId="41CB81C3" w14:textId="77777777" w:rsidR="002325C7" w:rsidRPr="007B405D" w:rsidRDefault="002325C7" w:rsidP="006941E8">
            <w:pPr>
              <w:jc w:val="center"/>
              <w:rPr>
                <w:color w:val="000000"/>
                <w:lang w:eastAsia="zh-CN"/>
              </w:rPr>
            </w:pPr>
            <w:r w:rsidRPr="007B405D">
              <w:rPr>
                <w:color w:val="000000"/>
                <w:lang w:eastAsia="zh-CN"/>
              </w:rPr>
              <w:t>2022</w:t>
            </w:r>
          </w:p>
        </w:tc>
        <w:tc>
          <w:tcPr>
            <w:tcW w:w="520" w:type="pct"/>
            <w:vMerge w:val="restart"/>
            <w:shd w:val="clear" w:color="auto" w:fill="auto"/>
            <w:noWrap/>
            <w:vAlign w:val="center"/>
            <w:hideMark/>
          </w:tcPr>
          <w:p w14:paraId="373DDE5F" w14:textId="77777777" w:rsidR="002325C7" w:rsidRPr="007B405D" w:rsidRDefault="002325C7" w:rsidP="006941E8">
            <w:pPr>
              <w:jc w:val="center"/>
              <w:rPr>
                <w:color w:val="000000"/>
                <w:lang w:eastAsia="zh-CN"/>
              </w:rPr>
            </w:pPr>
            <w:r w:rsidRPr="007B405D">
              <w:rPr>
                <w:color w:val="000000"/>
                <w:lang w:eastAsia="zh-CN"/>
              </w:rPr>
              <w:t>146</w:t>
            </w:r>
          </w:p>
        </w:tc>
        <w:tc>
          <w:tcPr>
            <w:tcW w:w="409" w:type="pct"/>
            <w:vMerge w:val="restart"/>
            <w:shd w:val="clear" w:color="auto" w:fill="auto"/>
            <w:noWrap/>
            <w:vAlign w:val="center"/>
            <w:hideMark/>
          </w:tcPr>
          <w:p w14:paraId="5B88B5C1" w14:textId="77777777" w:rsidR="002325C7" w:rsidRPr="007B405D" w:rsidRDefault="002325C7" w:rsidP="006941E8">
            <w:pPr>
              <w:jc w:val="center"/>
              <w:rPr>
                <w:color w:val="000000"/>
                <w:lang w:eastAsia="zh-CN"/>
              </w:rPr>
            </w:pPr>
            <w:r w:rsidRPr="007B405D">
              <w:rPr>
                <w:color w:val="000000"/>
                <w:lang w:eastAsia="zh-CN"/>
              </w:rPr>
              <w:t>72</w:t>
            </w:r>
          </w:p>
        </w:tc>
        <w:tc>
          <w:tcPr>
            <w:tcW w:w="633" w:type="pct"/>
            <w:vMerge w:val="restart"/>
            <w:shd w:val="clear" w:color="auto" w:fill="auto"/>
            <w:noWrap/>
            <w:vAlign w:val="center"/>
            <w:hideMark/>
          </w:tcPr>
          <w:p w14:paraId="26B1A5C0" w14:textId="77777777" w:rsidR="002325C7" w:rsidRPr="007B405D" w:rsidRDefault="002325C7" w:rsidP="006941E8">
            <w:pPr>
              <w:jc w:val="center"/>
              <w:rPr>
                <w:color w:val="000000"/>
                <w:lang w:eastAsia="zh-CN"/>
              </w:rPr>
            </w:pPr>
            <w:r w:rsidRPr="007B405D">
              <w:rPr>
                <w:color w:val="000000"/>
                <w:lang w:eastAsia="zh-CN"/>
              </w:rPr>
              <w:t>17</w:t>
            </w:r>
          </w:p>
        </w:tc>
        <w:tc>
          <w:tcPr>
            <w:tcW w:w="595" w:type="pct"/>
            <w:vMerge w:val="restart"/>
            <w:shd w:val="clear" w:color="auto" w:fill="auto"/>
            <w:noWrap/>
            <w:vAlign w:val="center"/>
            <w:hideMark/>
          </w:tcPr>
          <w:p w14:paraId="08307B2A" w14:textId="77777777" w:rsidR="002325C7" w:rsidRPr="007B405D" w:rsidRDefault="002325C7" w:rsidP="006941E8">
            <w:pPr>
              <w:jc w:val="center"/>
              <w:rPr>
                <w:color w:val="000000"/>
                <w:lang w:eastAsia="zh-CN"/>
              </w:rPr>
            </w:pPr>
            <w:r w:rsidRPr="007B405D">
              <w:rPr>
                <w:color w:val="000000"/>
                <w:lang w:eastAsia="zh-CN"/>
              </w:rPr>
              <w:t>11</w:t>
            </w:r>
          </w:p>
        </w:tc>
        <w:tc>
          <w:tcPr>
            <w:tcW w:w="650" w:type="pct"/>
            <w:vMerge w:val="restart"/>
            <w:shd w:val="clear" w:color="auto" w:fill="auto"/>
            <w:noWrap/>
            <w:vAlign w:val="center"/>
            <w:hideMark/>
          </w:tcPr>
          <w:p w14:paraId="46F1A784" w14:textId="77777777" w:rsidR="002325C7" w:rsidRPr="007B405D" w:rsidRDefault="002325C7" w:rsidP="006941E8">
            <w:pPr>
              <w:jc w:val="center"/>
              <w:rPr>
                <w:color w:val="000000"/>
                <w:lang w:eastAsia="zh-CN"/>
              </w:rPr>
            </w:pPr>
            <w:r w:rsidRPr="007B405D">
              <w:rPr>
                <w:color w:val="000000"/>
                <w:lang w:eastAsia="zh-CN"/>
              </w:rPr>
              <w:t>8</w:t>
            </w:r>
          </w:p>
        </w:tc>
        <w:tc>
          <w:tcPr>
            <w:tcW w:w="510" w:type="pct"/>
            <w:vMerge w:val="restart"/>
            <w:shd w:val="clear" w:color="auto" w:fill="auto"/>
            <w:noWrap/>
            <w:vAlign w:val="center"/>
            <w:hideMark/>
          </w:tcPr>
          <w:p w14:paraId="3FB441B4" w14:textId="77777777" w:rsidR="002325C7" w:rsidRPr="007B405D" w:rsidRDefault="002325C7" w:rsidP="006941E8">
            <w:pPr>
              <w:jc w:val="center"/>
              <w:rPr>
                <w:color w:val="000000"/>
                <w:lang w:eastAsia="zh-CN"/>
              </w:rPr>
            </w:pPr>
            <w:r w:rsidRPr="007B405D">
              <w:rPr>
                <w:color w:val="000000"/>
                <w:lang w:eastAsia="zh-CN"/>
              </w:rPr>
              <w:t>25</w:t>
            </w:r>
          </w:p>
        </w:tc>
        <w:tc>
          <w:tcPr>
            <w:tcW w:w="491" w:type="pct"/>
            <w:vMerge w:val="restart"/>
            <w:shd w:val="clear" w:color="auto" w:fill="auto"/>
            <w:noWrap/>
            <w:vAlign w:val="center"/>
            <w:hideMark/>
          </w:tcPr>
          <w:p w14:paraId="01496C90" w14:textId="77777777" w:rsidR="002325C7" w:rsidRPr="007B405D" w:rsidRDefault="002325C7" w:rsidP="006941E8">
            <w:pPr>
              <w:jc w:val="center"/>
              <w:rPr>
                <w:color w:val="000000"/>
                <w:lang w:eastAsia="zh-CN"/>
              </w:rPr>
            </w:pPr>
            <w:r w:rsidRPr="007B405D">
              <w:rPr>
                <w:color w:val="000000"/>
                <w:lang w:eastAsia="zh-CN"/>
              </w:rPr>
              <w:t>5</w:t>
            </w:r>
          </w:p>
        </w:tc>
        <w:tc>
          <w:tcPr>
            <w:tcW w:w="567" w:type="pct"/>
            <w:vMerge w:val="restart"/>
            <w:shd w:val="clear" w:color="auto" w:fill="auto"/>
            <w:noWrap/>
            <w:vAlign w:val="center"/>
            <w:hideMark/>
          </w:tcPr>
          <w:p w14:paraId="78D67F70" w14:textId="77777777" w:rsidR="002325C7" w:rsidRPr="007B405D" w:rsidRDefault="002325C7" w:rsidP="006941E8">
            <w:pPr>
              <w:jc w:val="center"/>
              <w:rPr>
                <w:color w:val="000000"/>
                <w:lang w:eastAsia="zh-CN"/>
              </w:rPr>
            </w:pPr>
            <w:r w:rsidRPr="007B405D">
              <w:rPr>
                <w:color w:val="000000"/>
                <w:lang w:eastAsia="zh-CN"/>
              </w:rPr>
              <w:t>8</w:t>
            </w:r>
          </w:p>
        </w:tc>
      </w:tr>
      <w:tr w:rsidR="002325C7" w:rsidRPr="007B405D" w14:paraId="2081525C" w14:textId="77777777" w:rsidTr="006941E8">
        <w:trPr>
          <w:trHeight w:val="312"/>
          <w:jc w:val="center"/>
        </w:trPr>
        <w:tc>
          <w:tcPr>
            <w:tcW w:w="623" w:type="pct"/>
            <w:shd w:val="clear" w:color="auto" w:fill="auto"/>
            <w:noWrap/>
            <w:vAlign w:val="bottom"/>
            <w:hideMark/>
          </w:tcPr>
          <w:p w14:paraId="5F50365B" w14:textId="77777777" w:rsidR="002325C7" w:rsidRPr="007B405D" w:rsidRDefault="002325C7" w:rsidP="006941E8">
            <w:pPr>
              <w:jc w:val="center"/>
              <w:rPr>
                <w:color w:val="000000"/>
                <w:lang w:eastAsia="zh-CN"/>
              </w:rPr>
            </w:pPr>
            <w:r w:rsidRPr="007B405D">
              <w:rPr>
                <w:color w:val="000000"/>
                <w:lang w:eastAsia="zh-CN"/>
              </w:rPr>
              <w:t>2023</w:t>
            </w:r>
          </w:p>
        </w:tc>
        <w:tc>
          <w:tcPr>
            <w:tcW w:w="520" w:type="pct"/>
            <w:vMerge/>
            <w:vAlign w:val="center"/>
            <w:hideMark/>
          </w:tcPr>
          <w:p w14:paraId="23421EDF" w14:textId="77777777" w:rsidR="002325C7" w:rsidRPr="007B405D" w:rsidRDefault="002325C7" w:rsidP="006941E8">
            <w:pPr>
              <w:rPr>
                <w:color w:val="000000"/>
                <w:lang w:eastAsia="zh-CN"/>
              </w:rPr>
            </w:pPr>
          </w:p>
        </w:tc>
        <w:tc>
          <w:tcPr>
            <w:tcW w:w="409" w:type="pct"/>
            <w:vMerge/>
            <w:vAlign w:val="center"/>
            <w:hideMark/>
          </w:tcPr>
          <w:p w14:paraId="3AA7145F" w14:textId="77777777" w:rsidR="002325C7" w:rsidRPr="007B405D" w:rsidRDefault="002325C7" w:rsidP="006941E8">
            <w:pPr>
              <w:rPr>
                <w:color w:val="000000"/>
                <w:lang w:eastAsia="zh-CN"/>
              </w:rPr>
            </w:pPr>
          </w:p>
        </w:tc>
        <w:tc>
          <w:tcPr>
            <w:tcW w:w="633" w:type="pct"/>
            <w:vMerge/>
            <w:vAlign w:val="center"/>
            <w:hideMark/>
          </w:tcPr>
          <w:p w14:paraId="36C565AA" w14:textId="77777777" w:rsidR="002325C7" w:rsidRPr="007B405D" w:rsidRDefault="002325C7" w:rsidP="006941E8">
            <w:pPr>
              <w:rPr>
                <w:color w:val="000000"/>
                <w:lang w:eastAsia="zh-CN"/>
              </w:rPr>
            </w:pPr>
          </w:p>
        </w:tc>
        <w:tc>
          <w:tcPr>
            <w:tcW w:w="595" w:type="pct"/>
            <w:vMerge/>
            <w:vAlign w:val="center"/>
            <w:hideMark/>
          </w:tcPr>
          <w:p w14:paraId="4DDA0CD7" w14:textId="77777777" w:rsidR="002325C7" w:rsidRPr="007B405D" w:rsidRDefault="002325C7" w:rsidP="006941E8">
            <w:pPr>
              <w:rPr>
                <w:color w:val="000000"/>
                <w:lang w:eastAsia="zh-CN"/>
              </w:rPr>
            </w:pPr>
          </w:p>
        </w:tc>
        <w:tc>
          <w:tcPr>
            <w:tcW w:w="650" w:type="pct"/>
            <w:vMerge/>
            <w:vAlign w:val="center"/>
            <w:hideMark/>
          </w:tcPr>
          <w:p w14:paraId="412B6507" w14:textId="77777777" w:rsidR="002325C7" w:rsidRPr="007B405D" w:rsidRDefault="002325C7" w:rsidP="006941E8">
            <w:pPr>
              <w:rPr>
                <w:color w:val="000000"/>
                <w:lang w:eastAsia="zh-CN"/>
              </w:rPr>
            </w:pPr>
          </w:p>
        </w:tc>
        <w:tc>
          <w:tcPr>
            <w:tcW w:w="510" w:type="pct"/>
            <w:vMerge/>
            <w:vAlign w:val="center"/>
            <w:hideMark/>
          </w:tcPr>
          <w:p w14:paraId="38CF9DFA" w14:textId="77777777" w:rsidR="002325C7" w:rsidRPr="007B405D" w:rsidRDefault="002325C7" w:rsidP="006941E8">
            <w:pPr>
              <w:rPr>
                <w:color w:val="000000"/>
                <w:lang w:eastAsia="zh-CN"/>
              </w:rPr>
            </w:pPr>
          </w:p>
        </w:tc>
        <w:tc>
          <w:tcPr>
            <w:tcW w:w="491" w:type="pct"/>
            <w:vMerge/>
            <w:vAlign w:val="center"/>
            <w:hideMark/>
          </w:tcPr>
          <w:p w14:paraId="0FEC50E5" w14:textId="77777777" w:rsidR="002325C7" w:rsidRPr="007B405D" w:rsidRDefault="002325C7" w:rsidP="006941E8">
            <w:pPr>
              <w:rPr>
                <w:color w:val="000000"/>
                <w:lang w:eastAsia="zh-CN"/>
              </w:rPr>
            </w:pPr>
          </w:p>
        </w:tc>
        <w:tc>
          <w:tcPr>
            <w:tcW w:w="567" w:type="pct"/>
            <w:vMerge/>
            <w:vAlign w:val="center"/>
            <w:hideMark/>
          </w:tcPr>
          <w:p w14:paraId="77E82932" w14:textId="77777777" w:rsidR="002325C7" w:rsidRPr="007B405D" w:rsidRDefault="002325C7" w:rsidP="006941E8">
            <w:pPr>
              <w:rPr>
                <w:color w:val="000000"/>
                <w:lang w:eastAsia="zh-CN"/>
              </w:rPr>
            </w:pPr>
          </w:p>
        </w:tc>
      </w:tr>
      <w:tr w:rsidR="002325C7" w:rsidRPr="007B405D" w14:paraId="724F59FF" w14:textId="77777777" w:rsidTr="006941E8">
        <w:trPr>
          <w:trHeight w:val="312"/>
          <w:jc w:val="center"/>
        </w:trPr>
        <w:tc>
          <w:tcPr>
            <w:tcW w:w="623" w:type="pct"/>
            <w:shd w:val="clear" w:color="auto" w:fill="auto"/>
            <w:noWrap/>
            <w:vAlign w:val="bottom"/>
            <w:hideMark/>
          </w:tcPr>
          <w:p w14:paraId="1C415C2E" w14:textId="77777777" w:rsidR="002325C7" w:rsidRPr="007B405D" w:rsidRDefault="002325C7" w:rsidP="006941E8">
            <w:pPr>
              <w:jc w:val="center"/>
              <w:rPr>
                <w:color w:val="000000"/>
                <w:lang w:eastAsia="zh-CN"/>
              </w:rPr>
            </w:pPr>
            <w:r w:rsidRPr="007B405D">
              <w:rPr>
                <w:color w:val="000000"/>
                <w:lang w:eastAsia="zh-CN"/>
              </w:rPr>
              <w:t>8/2024</w:t>
            </w:r>
          </w:p>
        </w:tc>
        <w:tc>
          <w:tcPr>
            <w:tcW w:w="520" w:type="pct"/>
            <w:vMerge/>
            <w:vAlign w:val="center"/>
            <w:hideMark/>
          </w:tcPr>
          <w:p w14:paraId="127A1280" w14:textId="77777777" w:rsidR="002325C7" w:rsidRPr="007B405D" w:rsidRDefault="002325C7" w:rsidP="006941E8">
            <w:pPr>
              <w:rPr>
                <w:color w:val="000000"/>
                <w:lang w:eastAsia="zh-CN"/>
              </w:rPr>
            </w:pPr>
          </w:p>
        </w:tc>
        <w:tc>
          <w:tcPr>
            <w:tcW w:w="409" w:type="pct"/>
            <w:vMerge/>
            <w:vAlign w:val="center"/>
            <w:hideMark/>
          </w:tcPr>
          <w:p w14:paraId="70247E68" w14:textId="77777777" w:rsidR="002325C7" w:rsidRPr="007B405D" w:rsidRDefault="002325C7" w:rsidP="006941E8">
            <w:pPr>
              <w:rPr>
                <w:color w:val="000000"/>
                <w:lang w:eastAsia="zh-CN"/>
              </w:rPr>
            </w:pPr>
          </w:p>
        </w:tc>
        <w:tc>
          <w:tcPr>
            <w:tcW w:w="633" w:type="pct"/>
            <w:vMerge/>
            <w:vAlign w:val="center"/>
            <w:hideMark/>
          </w:tcPr>
          <w:p w14:paraId="431247AE" w14:textId="77777777" w:rsidR="002325C7" w:rsidRPr="007B405D" w:rsidRDefault="002325C7" w:rsidP="006941E8">
            <w:pPr>
              <w:rPr>
                <w:color w:val="000000"/>
                <w:lang w:eastAsia="zh-CN"/>
              </w:rPr>
            </w:pPr>
          </w:p>
        </w:tc>
        <w:tc>
          <w:tcPr>
            <w:tcW w:w="595" w:type="pct"/>
            <w:vMerge/>
            <w:vAlign w:val="center"/>
            <w:hideMark/>
          </w:tcPr>
          <w:p w14:paraId="2F54A744" w14:textId="77777777" w:rsidR="002325C7" w:rsidRPr="007B405D" w:rsidRDefault="002325C7" w:rsidP="006941E8">
            <w:pPr>
              <w:rPr>
                <w:color w:val="000000"/>
                <w:lang w:eastAsia="zh-CN"/>
              </w:rPr>
            </w:pPr>
          </w:p>
        </w:tc>
        <w:tc>
          <w:tcPr>
            <w:tcW w:w="650" w:type="pct"/>
            <w:vMerge/>
            <w:vAlign w:val="center"/>
            <w:hideMark/>
          </w:tcPr>
          <w:p w14:paraId="5DA1B95D" w14:textId="77777777" w:rsidR="002325C7" w:rsidRPr="007B405D" w:rsidRDefault="002325C7" w:rsidP="006941E8">
            <w:pPr>
              <w:rPr>
                <w:color w:val="000000"/>
                <w:lang w:eastAsia="zh-CN"/>
              </w:rPr>
            </w:pPr>
          </w:p>
        </w:tc>
        <w:tc>
          <w:tcPr>
            <w:tcW w:w="510" w:type="pct"/>
            <w:vMerge/>
            <w:vAlign w:val="center"/>
            <w:hideMark/>
          </w:tcPr>
          <w:p w14:paraId="20510093" w14:textId="77777777" w:rsidR="002325C7" w:rsidRPr="007B405D" w:rsidRDefault="002325C7" w:rsidP="006941E8">
            <w:pPr>
              <w:rPr>
                <w:color w:val="000000"/>
                <w:lang w:eastAsia="zh-CN"/>
              </w:rPr>
            </w:pPr>
          </w:p>
        </w:tc>
        <w:tc>
          <w:tcPr>
            <w:tcW w:w="491" w:type="pct"/>
            <w:vMerge/>
            <w:vAlign w:val="center"/>
            <w:hideMark/>
          </w:tcPr>
          <w:p w14:paraId="5E8FCE6F" w14:textId="77777777" w:rsidR="002325C7" w:rsidRPr="007B405D" w:rsidRDefault="002325C7" w:rsidP="006941E8">
            <w:pPr>
              <w:rPr>
                <w:color w:val="000000"/>
                <w:lang w:eastAsia="zh-CN"/>
              </w:rPr>
            </w:pPr>
          </w:p>
        </w:tc>
        <w:tc>
          <w:tcPr>
            <w:tcW w:w="567" w:type="pct"/>
            <w:vMerge/>
            <w:vAlign w:val="center"/>
            <w:hideMark/>
          </w:tcPr>
          <w:p w14:paraId="4DEF59A8" w14:textId="77777777" w:rsidR="002325C7" w:rsidRPr="007B405D" w:rsidRDefault="002325C7" w:rsidP="006941E8">
            <w:pPr>
              <w:rPr>
                <w:color w:val="000000"/>
                <w:lang w:eastAsia="zh-CN"/>
              </w:rPr>
            </w:pPr>
          </w:p>
        </w:tc>
      </w:tr>
      <w:tr w:rsidR="002325C7" w:rsidRPr="007B405D" w14:paraId="1F79456D" w14:textId="77777777" w:rsidTr="006941E8">
        <w:trPr>
          <w:trHeight w:val="324"/>
          <w:jc w:val="center"/>
        </w:trPr>
        <w:tc>
          <w:tcPr>
            <w:tcW w:w="623" w:type="pct"/>
            <w:shd w:val="clear" w:color="auto" w:fill="auto"/>
            <w:noWrap/>
            <w:vAlign w:val="bottom"/>
            <w:hideMark/>
          </w:tcPr>
          <w:p w14:paraId="693C6EEA" w14:textId="77777777" w:rsidR="002325C7" w:rsidRPr="007B405D" w:rsidRDefault="002325C7" w:rsidP="006941E8">
            <w:pPr>
              <w:jc w:val="center"/>
              <w:rPr>
                <w:bCs/>
                <w:iCs/>
                <w:color w:val="000000"/>
                <w:lang w:eastAsia="zh-CN"/>
              </w:rPr>
            </w:pPr>
            <w:r w:rsidRPr="007B405D">
              <w:rPr>
                <w:bCs/>
                <w:iCs/>
                <w:color w:val="000000"/>
                <w:lang w:eastAsia="zh-CN"/>
              </w:rPr>
              <w:t>Tổng</w:t>
            </w:r>
          </w:p>
        </w:tc>
        <w:tc>
          <w:tcPr>
            <w:tcW w:w="520" w:type="pct"/>
            <w:shd w:val="clear" w:color="auto" w:fill="auto"/>
            <w:noWrap/>
            <w:vAlign w:val="center"/>
            <w:hideMark/>
          </w:tcPr>
          <w:p w14:paraId="4E77FAC5" w14:textId="77777777" w:rsidR="002325C7" w:rsidRPr="007B405D" w:rsidRDefault="002325C7" w:rsidP="006941E8">
            <w:pPr>
              <w:jc w:val="center"/>
              <w:rPr>
                <w:bCs/>
                <w:iCs/>
                <w:color w:val="000000"/>
                <w:lang w:eastAsia="zh-CN"/>
              </w:rPr>
            </w:pPr>
            <w:r w:rsidRPr="007B405D">
              <w:rPr>
                <w:bCs/>
                <w:iCs/>
                <w:color w:val="000000"/>
                <w:lang w:eastAsia="zh-CN"/>
              </w:rPr>
              <w:t>146</w:t>
            </w:r>
          </w:p>
        </w:tc>
        <w:tc>
          <w:tcPr>
            <w:tcW w:w="409" w:type="pct"/>
            <w:shd w:val="clear" w:color="auto" w:fill="auto"/>
            <w:noWrap/>
            <w:vAlign w:val="center"/>
            <w:hideMark/>
          </w:tcPr>
          <w:p w14:paraId="6BDC49C1" w14:textId="77777777" w:rsidR="002325C7" w:rsidRPr="007B405D" w:rsidRDefault="002325C7" w:rsidP="006941E8">
            <w:pPr>
              <w:jc w:val="center"/>
              <w:rPr>
                <w:bCs/>
                <w:iCs/>
                <w:color w:val="000000"/>
                <w:lang w:eastAsia="zh-CN"/>
              </w:rPr>
            </w:pPr>
            <w:r w:rsidRPr="007B405D">
              <w:rPr>
                <w:bCs/>
                <w:iCs/>
                <w:color w:val="000000"/>
                <w:lang w:eastAsia="zh-CN"/>
              </w:rPr>
              <w:t>72</w:t>
            </w:r>
          </w:p>
        </w:tc>
        <w:tc>
          <w:tcPr>
            <w:tcW w:w="633" w:type="pct"/>
            <w:shd w:val="clear" w:color="auto" w:fill="auto"/>
            <w:noWrap/>
            <w:vAlign w:val="center"/>
            <w:hideMark/>
          </w:tcPr>
          <w:p w14:paraId="7D066A6B" w14:textId="77777777" w:rsidR="002325C7" w:rsidRPr="007B405D" w:rsidRDefault="002325C7" w:rsidP="006941E8">
            <w:pPr>
              <w:jc w:val="center"/>
              <w:rPr>
                <w:bCs/>
                <w:iCs/>
                <w:color w:val="000000"/>
                <w:lang w:eastAsia="zh-CN"/>
              </w:rPr>
            </w:pPr>
            <w:r w:rsidRPr="007B405D">
              <w:rPr>
                <w:bCs/>
                <w:iCs/>
                <w:color w:val="000000"/>
                <w:lang w:eastAsia="zh-CN"/>
              </w:rPr>
              <w:t>17</w:t>
            </w:r>
          </w:p>
        </w:tc>
        <w:tc>
          <w:tcPr>
            <w:tcW w:w="595" w:type="pct"/>
            <w:shd w:val="clear" w:color="auto" w:fill="auto"/>
            <w:noWrap/>
            <w:vAlign w:val="center"/>
            <w:hideMark/>
          </w:tcPr>
          <w:p w14:paraId="7A2D8E11" w14:textId="77777777" w:rsidR="002325C7" w:rsidRPr="007B405D" w:rsidRDefault="002325C7" w:rsidP="006941E8">
            <w:pPr>
              <w:jc w:val="center"/>
              <w:rPr>
                <w:bCs/>
                <w:iCs/>
                <w:color w:val="000000"/>
                <w:lang w:eastAsia="zh-CN"/>
              </w:rPr>
            </w:pPr>
            <w:r w:rsidRPr="007B405D">
              <w:rPr>
                <w:bCs/>
                <w:iCs/>
                <w:color w:val="000000"/>
                <w:lang w:eastAsia="zh-CN"/>
              </w:rPr>
              <w:t>11</w:t>
            </w:r>
          </w:p>
        </w:tc>
        <w:tc>
          <w:tcPr>
            <w:tcW w:w="650" w:type="pct"/>
            <w:shd w:val="clear" w:color="auto" w:fill="auto"/>
            <w:noWrap/>
            <w:vAlign w:val="center"/>
            <w:hideMark/>
          </w:tcPr>
          <w:p w14:paraId="40B0247A" w14:textId="77777777" w:rsidR="002325C7" w:rsidRPr="007B405D" w:rsidRDefault="002325C7" w:rsidP="006941E8">
            <w:pPr>
              <w:jc w:val="center"/>
              <w:rPr>
                <w:bCs/>
                <w:iCs/>
                <w:color w:val="000000"/>
                <w:lang w:eastAsia="zh-CN"/>
              </w:rPr>
            </w:pPr>
            <w:r w:rsidRPr="007B405D">
              <w:rPr>
                <w:bCs/>
                <w:iCs/>
                <w:color w:val="000000"/>
                <w:lang w:eastAsia="zh-CN"/>
              </w:rPr>
              <w:t>8</w:t>
            </w:r>
          </w:p>
        </w:tc>
        <w:tc>
          <w:tcPr>
            <w:tcW w:w="510" w:type="pct"/>
            <w:shd w:val="clear" w:color="auto" w:fill="auto"/>
            <w:noWrap/>
            <w:vAlign w:val="center"/>
            <w:hideMark/>
          </w:tcPr>
          <w:p w14:paraId="4074315D" w14:textId="77777777" w:rsidR="002325C7" w:rsidRPr="007B405D" w:rsidRDefault="002325C7" w:rsidP="006941E8">
            <w:pPr>
              <w:jc w:val="center"/>
              <w:rPr>
                <w:bCs/>
                <w:iCs/>
                <w:color w:val="000000"/>
                <w:lang w:eastAsia="zh-CN"/>
              </w:rPr>
            </w:pPr>
            <w:r w:rsidRPr="007B405D">
              <w:rPr>
                <w:bCs/>
                <w:iCs/>
                <w:color w:val="000000"/>
                <w:lang w:eastAsia="zh-CN"/>
              </w:rPr>
              <w:t>25</w:t>
            </w:r>
          </w:p>
        </w:tc>
        <w:tc>
          <w:tcPr>
            <w:tcW w:w="491" w:type="pct"/>
            <w:shd w:val="clear" w:color="auto" w:fill="auto"/>
            <w:noWrap/>
            <w:vAlign w:val="center"/>
            <w:hideMark/>
          </w:tcPr>
          <w:p w14:paraId="44969CD8" w14:textId="77777777" w:rsidR="002325C7" w:rsidRPr="007B405D" w:rsidRDefault="002325C7" w:rsidP="006941E8">
            <w:pPr>
              <w:jc w:val="center"/>
              <w:rPr>
                <w:bCs/>
                <w:iCs/>
                <w:color w:val="000000"/>
                <w:lang w:eastAsia="zh-CN"/>
              </w:rPr>
            </w:pPr>
            <w:r w:rsidRPr="007B405D">
              <w:rPr>
                <w:bCs/>
                <w:iCs/>
                <w:color w:val="000000"/>
                <w:lang w:eastAsia="zh-CN"/>
              </w:rPr>
              <w:t>5</w:t>
            </w:r>
          </w:p>
        </w:tc>
        <w:tc>
          <w:tcPr>
            <w:tcW w:w="567" w:type="pct"/>
            <w:shd w:val="clear" w:color="auto" w:fill="auto"/>
            <w:noWrap/>
            <w:vAlign w:val="center"/>
            <w:hideMark/>
          </w:tcPr>
          <w:p w14:paraId="610BDF10" w14:textId="77777777" w:rsidR="002325C7" w:rsidRPr="007B405D" w:rsidRDefault="002325C7" w:rsidP="006941E8">
            <w:pPr>
              <w:jc w:val="center"/>
              <w:rPr>
                <w:bCs/>
                <w:iCs/>
                <w:color w:val="000000"/>
                <w:lang w:eastAsia="zh-CN"/>
              </w:rPr>
            </w:pPr>
            <w:r w:rsidRPr="007B405D">
              <w:rPr>
                <w:bCs/>
                <w:iCs/>
                <w:color w:val="000000"/>
                <w:lang w:eastAsia="zh-CN"/>
              </w:rPr>
              <w:t>8</w:t>
            </w:r>
          </w:p>
        </w:tc>
      </w:tr>
    </w:tbl>
    <w:p w14:paraId="0A692D8F" w14:textId="77777777" w:rsidR="002325C7" w:rsidRPr="006B03AC" w:rsidRDefault="002325C7" w:rsidP="002325C7">
      <w:pPr>
        <w:jc w:val="center"/>
        <w:rPr>
          <w:iCs/>
          <w:szCs w:val="26"/>
          <w:lang w:val="de-DE"/>
        </w:rPr>
      </w:pPr>
    </w:p>
    <w:p w14:paraId="00057AF4" w14:textId="77777777" w:rsidR="002325C7" w:rsidRPr="006B03AC" w:rsidRDefault="002325C7" w:rsidP="002325C7">
      <w:pPr>
        <w:jc w:val="center"/>
        <w:rPr>
          <w:bCs/>
          <w:iCs/>
          <w:szCs w:val="26"/>
          <w:lang w:val="de-DE"/>
        </w:rPr>
      </w:pPr>
      <w:r w:rsidRPr="006B03AC">
        <w:rPr>
          <w:bCs/>
          <w:iCs/>
          <w:szCs w:val="26"/>
          <w:lang w:val="de-DE"/>
        </w:rPr>
        <w:t>Bảng 2 Đoàn vào, đoàn ra, dự án HTQT, hội nghị, hội thảo quốc tế giai đoạn 2022-8/2024</w:t>
      </w:r>
    </w:p>
    <w:tbl>
      <w:tblPr>
        <w:tblW w:w="5000" w:type="pct"/>
        <w:jc w:val="center"/>
        <w:tblLook w:val="04A0" w:firstRow="1" w:lastRow="0" w:firstColumn="1" w:lastColumn="0" w:noHBand="0" w:noVBand="1"/>
      </w:tblPr>
      <w:tblGrid>
        <w:gridCol w:w="883"/>
        <w:gridCol w:w="790"/>
        <w:gridCol w:w="769"/>
        <w:gridCol w:w="683"/>
        <w:gridCol w:w="603"/>
        <w:gridCol w:w="797"/>
        <w:gridCol w:w="798"/>
        <w:gridCol w:w="798"/>
        <w:gridCol w:w="780"/>
        <w:gridCol w:w="776"/>
        <w:gridCol w:w="674"/>
        <w:gridCol w:w="711"/>
      </w:tblGrid>
      <w:tr w:rsidR="002325C7" w:rsidRPr="007B405D" w14:paraId="1884A029" w14:textId="77777777" w:rsidTr="006941E8">
        <w:trPr>
          <w:trHeight w:val="960"/>
          <w:jc w:val="center"/>
        </w:trPr>
        <w:tc>
          <w:tcPr>
            <w:tcW w:w="42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D4A985D" w14:textId="77777777" w:rsidR="002325C7" w:rsidRPr="007B405D" w:rsidRDefault="002325C7" w:rsidP="006941E8">
            <w:pPr>
              <w:jc w:val="center"/>
              <w:rPr>
                <w:bCs/>
                <w:color w:val="000000"/>
                <w:lang w:eastAsia="zh-CN"/>
              </w:rPr>
            </w:pPr>
            <w:r w:rsidRPr="007B405D">
              <w:rPr>
                <w:bCs/>
                <w:color w:val="000000"/>
                <w:lang w:eastAsia="zh-CN"/>
              </w:rPr>
              <w:t xml:space="preserve">Năm </w:t>
            </w:r>
          </w:p>
        </w:tc>
        <w:tc>
          <w:tcPr>
            <w:tcW w:w="913"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1C40AB1" w14:textId="77777777" w:rsidR="002325C7" w:rsidRPr="007B405D" w:rsidRDefault="002325C7" w:rsidP="006941E8">
            <w:pPr>
              <w:jc w:val="center"/>
              <w:rPr>
                <w:bCs/>
                <w:color w:val="000000"/>
                <w:lang w:eastAsia="zh-CN"/>
              </w:rPr>
            </w:pPr>
            <w:r w:rsidRPr="007B405D">
              <w:rPr>
                <w:bCs/>
                <w:color w:val="000000"/>
                <w:lang w:eastAsia="zh-CN"/>
              </w:rPr>
              <w:t>Đoàn vào</w:t>
            </w:r>
          </w:p>
        </w:tc>
        <w:tc>
          <w:tcPr>
            <w:tcW w:w="1098" w:type="pct"/>
            <w:gridSpan w:val="3"/>
            <w:tcBorders>
              <w:top w:val="single" w:sz="4" w:space="0" w:color="auto"/>
              <w:left w:val="nil"/>
              <w:bottom w:val="single" w:sz="4" w:space="0" w:color="auto"/>
              <w:right w:val="single" w:sz="4" w:space="0" w:color="auto"/>
            </w:tcBorders>
            <w:shd w:val="clear" w:color="auto" w:fill="auto"/>
            <w:vAlign w:val="center"/>
            <w:hideMark/>
          </w:tcPr>
          <w:p w14:paraId="38DB0716" w14:textId="77777777" w:rsidR="002325C7" w:rsidRPr="007B405D" w:rsidRDefault="002325C7" w:rsidP="006941E8">
            <w:pPr>
              <w:jc w:val="center"/>
              <w:rPr>
                <w:bCs/>
                <w:color w:val="000000"/>
                <w:lang w:eastAsia="zh-CN"/>
              </w:rPr>
            </w:pPr>
            <w:r w:rsidRPr="007B405D">
              <w:rPr>
                <w:bCs/>
                <w:color w:val="000000"/>
                <w:lang w:eastAsia="zh-CN"/>
              </w:rPr>
              <w:t xml:space="preserve">Cử cán bộ đi </w:t>
            </w:r>
            <w:r w:rsidRPr="007B405D">
              <w:rPr>
                <w:bCs/>
                <w:color w:val="000000"/>
                <w:lang w:eastAsia="zh-CN"/>
              </w:rPr>
              <w:br/>
              <w:t xml:space="preserve">đào tạo, </w:t>
            </w:r>
            <w:r w:rsidRPr="007B405D">
              <w:rPr>
                <w:bCs/>
                <w:color w:val="000000"/>
                <w:lang w:eastAsia="zh-CN"/>
              </w:rPr>
              <w:br/>
              <w:t>bồi dưỡng</w:t>
            </w:r>
          </w:p>
        </w:tc>
        <w:tc>
          <w:tcPr>
            <w:tcW w:w="4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ABA837" w14:textId="77777777" w:rsidR="002325C7" w:rsidRPr="007B405D" w:rsidRDefault="002325C7" w:rsidP="006941E8">
            <w:pPr>
              <w:jc w:val="center"/>
              <w:rPr>
                <w:bCs/>
                <w:color w:val="000000"/>
                <w:lang w:eastAsia="zh-CN"/>
              </w:rPr>
            </w:pPr>
            <w:r w:rsidRPr="007B405D">
              <w:rPr>
                <w:bCs/>
                <w:color w:val="000000"/>
                <w:lang w:eastAsia="zh-CN"/>
              </w:rPr>
              <w:t>Cử sinh viên đi học tập, trao đổi</w:t>
            </w:r>
          </w:p>
        </w:tc>
        <w:tc>
          <w:tcPr>
            <w:tcW w:w="4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5611BEC" w14:textId="77777777" w:rsidR="002325C7" w:rsidRPr="007B405D" w:rsidRDefault="002325C7" w:rsidP="006941E8">
            <w:pPr>
              <w:jc w:val="center"/>
              <w:rPr>
                <w:bCs/>
                <w:color w:val="000000"/>
                <w:lang w:eastAsia="zh-CN"/>
              </w:rPr>
            </w:pPr>
            <w:r w:rsidRPr="007B405D">
              <w:rPr>
                <w:bCs/>
                <w:color w:val="000000"/>
                <w:lang w:eastAsia="zh-CN"/>
              </w:rPr>
              <w:t>Ký kết thỏa thuận hợp tác</w:t>
            </w:r>
          </w:p>
        </w:tc>
        <w:tc>
          <w:tcPr>
            <w:tcW w:w="811" w:type="pct"/>
            <w:gridSpan w:val="2"/>
            <w:tcBorders>
              <w:top w:val="single" w:sz="4" w:space="0" w:color="auto"/>
              <w:left w:val="nil"/>
              <w:bottom w:val="single" w:sz="4" w:space="0" w:color="auto"/>
              <w:right w:val="single" w:sz="4" w:space="0" w:color="auto"/>
            </w:tcBorders>
            <w:shd w:val="clear" w:color="auto" w:fill="auto"/>
            <w:vAlign w:val="center"/>
            <w:hideMark/>
          </w:tcPr>
          <w:p w14:paraId="597913AF" w14:textId="77777777" w:rsidR="002325C7" w:rsidRPr="007B405D" w:rsidRDefault="002325C7" w:rsidP="006941E8">
            <w:pPr>
              <w:jc w:val="center"/>
              <w:rPr>
                <w:bCs/>
                <w:color w:val="000000"/>
                <w:lang w:eastAsia="zh-CN"/>
              </w:rPr>
            </w:pPr>
            <w:r w:rsidRPr="007B405D">
              <w:rPr>
                <w:bCs/>
                <w:color w:val="000000"/>
                <w:lang w:eastAsia="zh-CN"/>
              </w:rPr>
              <w:t>Dự án HTQT</w:t>
            </w:r>
          </w:p>
        </w:tc>
        <w:tc>
          <w:tcPr>
            <w:tcW w:w="816" w:type="pct"/>
            <w:gridSpan w:val="2"/>
            <w:tcBorders>
              <w:top w:val="single" w:sz="4" w:space="0" w:color="auto"/>
              <w:left w:val="nil"/>
              <w:bottom w:val="single" w:sz="4" w:space="0" w:color="auto"/>
              <w:right w:val="single" w:sz="4" w:space="0" w:color="000000"/>
            </w:tcBorders>
            <w:shd w:val="clear" w:color="auto" w:fill="auto"/>
            <w:vAlign w:val="center"/>
            <w:hideMark/>
          </w:tcPr>
          <w:p w14:paraId="14F51072" w14:textId="77777777" w:rsidR="002325C7" w:rsidRPr="007B405D" w:rsidRDefault="002325C7" w:rsidP="006941E8">
            <w:pPr>
              <w:jc w:val="center"/>
              <w:rPr>
                <w:bCs/>
                <w:color w:val="000000"/>
                <w:lang w:eastAsia="zh-CN"/>
              </w:rPr>
            </w:pPr>
            <w:r w:rsidRPr="007B405D">
              <w:rPr>
                <w:bCs/>
                <w:color w:val="000000"/>
                <w:lang w:eastAsia="zh-CN"/>
              </w:rPr>
              <w:t>Hội nghị, hội thảo quốc tế</w:t>
            </w:r>
          </w:p>
        </w:tc>
      </w:tr>
      <w:tr w:rsidR="002325C7" w:rsidRPr="007B405D" w14:paraId="221251CC" w14:textId="77777777" w:rsidTr="006941E8">
        <w:trPr>
          <w:trHeight w:val="719"/>
          <w:jc w:val="center"/>
        </w:trPr>
        <w:tc>
          <w:tcPr>
            <w:tcW w:w="429" w:type="pct"/>
            <w:vMerge/>
            <w:tcBorders>
              <w:top w:val="single" w:sz="4" w:space="0" w:color="000000"/>
              <w:left w:val="single" w:sz="4" w:space="0" w:color="000000"/>
              <w:bottom w:val="single" w:sz="4" w:space="0" w:color="000000"/>
              <w:right w:val="single" w:sz="4" w:space="0" w:color="000000"/>
            </w:tcBorders>
            <w:vAlign w:val="center"/>
            <w:hideMark/>
          </w:tcPr>
          <w:p w14:paraId="330107F5" w14:textId="77777777" w:rsidR="002325C7" w:rsidRPr="007B405D" w:rsidRDefault="002325C7" w:rsidP="006941E8">
            <w:pPr>
              <w:rPr>
                <w:bCs/>
                <w:color w:val="000000"/>
                <w:lang w:eastAsia="zh-CN"/>
              </w:rPr>
            </w:pPr>
          </w:p>
        </w:tc>
        <w:tc>
          <w:tcPr>
            <w:tcW w:w="447" w:type="pct"/>
            <w:tcBorders>
              <w:top w:val="nil"/>
              <w:left w:val="single" w:sz="4" w:space="0" w:color="auto"/>
              <w:bottom w:val="single" w:sz="4" w:space="0" w:color="auto"/>
              <w:right w:val="single" w:sz="4" w:space="0" w:color="auto"/>
            </w:tcBorders>
            <w:shd w:val="clear" w:color="auto" w:fill="auto"/>
            <w:vAlign w:val="center"/>
            <w:hideMark/>
          </w:tcPr>
          <w:p w14:paraId="499B0B49" w14:textId="77777777" w:rsidR="002325C7" w:rsidRPr="007B405D" w:rsidRDefault="002325C7" w:rsidP="006941E8">
            <w:pPr>
              <w:jc w:val="center"/>
              <w:rPr>
                <w:bCs/>
                <w:iCs/>
                <w:color w:val="000000"/>
                <w:lang w:eastAsia="zh-CN"/>
              </w:rPr>
            </w:pPr>
            <w:r w:rsidRPr="007B405D">
              <w:rPr>
                <w:bCs/>
                <w:iCs/>
                <w:color w:val="000000"/>
                <w:lang w:eastAsia="zh-CN"/>
              </w:rPr>
              <w:t>Tiếp đón khách quốc tế</w:t>
            </w:r>
          </w:p>
        </w:tc>
        <w:tc>
          <w:tcPr>
            <w:tcW w:w="466" w:type="pct"/>
            <w:tcBorders>
              <w:top w:val="nil"/>
              <w:left w:val="nil"/>
              <w:bottom w:val="single" w:sz="4" w:space="0" w:color="auto"/>
              <w:right w:val="single" w:sz="4" w:space="0" w:color="auto"/>
            </w:tcBorders>
            <w:shd w:val="clear" w:color="auto" w:fill="auto"/>
            <w:vAlign w:val="center"/>
            <w:hideMark/>
          </w:tcPr>
          <w:p w14:paraId="5C0CBBB8" w14:textId="77777777" w:rsidR="002325C7" w:rsidRPr="007B405D" w:rsidRDefault="002325C7" w:rsidP="006941E8">
            <w:pPr>
              <w:jc w:val="center"/>
              <w:rPr>
                <w:bCs/>
                <w:iCs/>
                <w:color w:val="000000"/>
                <w:lang w:eastAsia="zh-CN"/>
              </w:rPr>
            </w:pPr>
            <w:r w:rsidRPr="007B405D">
              <w:rPr>
                <w:bCs/>
                <w:iCs/>
                <w:color w:val="000000"/>
                <w:lang w:eastAsia="zh-CN"/>
              </w:rPr>
              <w:t>Tiếp nhận sinh viên quốc tế</w:t>
            </w:r>
          </w:p>
        </w:tc>
        <w:tc>
          <w:tcPr>
            <w:tcW w:w="332" w:type="pct"/>
            <w:tcBorders>
              <w:top w:val="nil"/>
              <w:left w:val="nil"/>
              <w:bottom w:val="single" w:sz="4" w:space="0" w:color="auto"/>
              <w:right w:val="single" w:sz="4" w:space="0" w:color="auto"/>
            </w:tcBorders>
            <w:shd w:val="clear" w:color="auto" w:fill="auto"/>
            <w:vAlign w:val="center"/>
            <w:hideMark/>
          </w:tcPr>
          <w:p w14:paraId="6F8A77A1" w14:textId="77777777" w:rsidR="002325C7" w:rsidRPr="007B405D" w:rsidRDefault="002325C7" w:rsidP="006941E8">
            <w:pPr>
              <w:jc w:val="center"/>
              <w:rPr>
                <w:bCs/>
                <w:iCs/>
                <w:color w:val="000000"/>
                <w:lang w:eastAsia="zh-CN"/>
              </w:rPr>
            </w:pPr>
            <w:r w:rsidRPr="007B405D">
              <w:rPr>
                <w:bCs/>
                <w:iCs/>
                <w:color w:val="000000"/>
                <w:lang w:eastAsia="zh-CN"/>
              </w:rPr>
              <w:t>NCS</w:t>
            </w:r>
          </w:p>
        </w:tc>
        <w:tc>
          <w:tcPr>
            <w:tcW w:w="300" w:type="pct"/>
            <w:tcBorders>
              <w:top w:val="nil"/>
              <w:left w:val="nil"/>
              <w:bottom w:val="single" w:sz="4" w:space="0" w:color="auto"/>
              <w:right w:val="single" w:sz="4" w:space="0" w:color="auto"/>
            </w:tcBorders>
            <w:shd w:val="clear" w:color="auto" w:fill="auto"/>
            <w:vAlign w:val="center"/>
            <w:hideMark/>
          </w:tcPr>
          <w:p w14:paraId="2E1C4A02" w14:textId="77777777" w:rsidR="002325C7" w:rsidRPr="007B405D" w:rsidRDefault="002325C7" w:rsidP="006941E8">
            <w:pPr>
              <w:jc w:val="center"/>
              <w:rPr>
                <w:bCs/>
                <w:iCs/>
                <w:color w:val="000000"/>
                <w:lang w:eastAsia="zh-CN"/>
              </w:rPr>
            </w:pPr>
            <w:r w:rsidRPr="007B405D">
              <w:rPr>
                <w:bCs/>
                <w:iCs/>
                <w:color w:val="000000"/>
                <w:lang w:eastAsia="zh-CN"/>
              </w:rPr>
              <w:t xml:space="preserve">Cao </w:t>
            </w:r>
            <w:r w:rsidRPr="007B405D">
              <w:rPr>
                <w:bCs/>
                <w:iCs/>
                <w:color w:val="000000"/>
                <w:lang w:eastAsia="zh-CN"/>
              </w:rPr>
              <w:br/>
              <w:t>học</w:t>
            </w:r>
          </w:p>
        </w:tc>
        <w:tc>
          <w:tcPr>
            <w:tcW w:w="466" w:type="pct"/>
            <w:tcBorders>
              <w:top w:val="nil"/>
              <w:left w:val="nil"/>
              <w:bottom w:val="single" w:sz="4" w:space="0" w:color="auto"/>
              <w:right w:val="single" w:sz="4" w:space="0" w:color="auto"/>
            </w:tcBorders>
            <w:shd w:val="clear" w:color="auto" w:fill="auto"/>
            <w:vAlign w:val="center"/>
            <w:hideMark/>
          </w:tcPr>
          <w:p w14:paraId="0E500592" w14:textId="77777777" w:rsidR="002325C7" w:rsidRPr="007B405D" w:rsidRDefault="002325C7" w:rsidP="006941E8">
            <w:pPr>
              <w:jc w:val="center"/>
              <w:rPr>
                <w:bCs/>
                <w:iCs/>
                <w:color w:val="000000"/>
                <w:lang w:eastAsia="zh-CN"/>
              </w:rPr>
            </w:pPr>
            <w:r w:rsidRPr="007B405D">
              <w:rPr>
                <w:bCs/>
                <w:iCs/>
                <w:color w:val="000000"/>
                <w:lang w:eastAsia="zh-CN"/>
              </w:rPr>
              <w:t>Ngắn hạn</w:t>
            </w:r>
          </w:p>
        </w:tc>
        <w:tc>
          <w:tcPr>
            <w:tcW w:w="466" w:type="pct"/>
            <w:vMerge/>
            <w:tcBorders>
              <w:top w:val="single" w:sz="4" w:space="0" w:color="auto"/>
              <w:left w:val="single" w:sz="4" w:space="0" w:color="auto"/>
              <w:bottom w:val="single" w:sz="4" w:space="0" w:color="000000"/>
              <w:right w:val="single" w:sz="4" w:space="0" w:color="auto"/>
            </w:tcBorders>
            <w:vAlign w:val="center"/>
            <w:hideMark/>
          </w:tcPr>
          <w:p w14:paraId="2EF27986" w14:textId="77777777" w:rsidR="002325C7" w:rsidRPr="007B405D" w:rsidRDefault="002325C7" w:rsidP="006941E8">
            <w:pPr>
              <w:rPr>
                <w:bCs/>
                <w:color w:val="000000"/>
                <w:lang w:eastAsia="zh-CN"/>
              </w:rPr>
            </w:pPr>
          </w:p>
        </w:tc>
        <w:tc>
          <w:tcPr>
            <w:tcW w:w="466" w:type="pct"/>
            <w:vMerge/>
            <w:tcBorders>
              <w:top w:val="single" w:sz="4" w:space="0" w:color="auto"/>
              <w:left w:val="single" w:sz="4" w:space="0" w:color="auto"/>
              <w:bottom w:val="single" w:sz="4" w:space="0" w:color="000000"/>
              <w:right w:val="single" w:sz="4" w:space="0" w:color="auto"/>
            </w:tcBorders>
            <w:vAlign w:val="center"/>
            <w:hideMark/>
          </w:tcPr>
          <w:p w14:paraId="272CC819" w14:textId="77777777" w:rsidR="002325C7" w:rsidRPr="007B405D" w:rsidRDefault="002325C7" w:rsidP="006941E8">
            <w:pPr>
              <w:rPr>
                <w:bCs/>
                <w:color w:val="000000"/>
                <w:lang w:eastAsia="zh-CN"/>
              </w:rPr>
            </w:pPr>
          </w:p>
        </w:tc>
        <w:tc>
          <w:tcPr>
            <w:tcW w:w="393" w:type="pct"/>
            <w:tcBorders>
              <w:top w:val="nil"/>
              <w:left w:val="nil"/>
              <w:bottom w:val="single" w:sz="4" w:space="0" w:color="auto"/>
              <w:right w:val="single" w:sz="4" w:space="0" w:color="auto"/>
            </w:tcBorders>
            <w:shd w:val="clear" w:color="auto" w:fill="auto"/>
            <w:vAlign w:val="center"/>
            <w:hideMark/>
          </w:tcPr>
          <w:p w14:paraId="7C052651" w14:textId="77777777" w:rsidR="002325C7" w:rsidRPr="007B405D" w:rsidRDefault="002325C7" w:rsidP="006941E8">
            <w:pPr>
              <w:rPr>
                <w:bCs/>
                <w:iCs/>
                <w:color w:val="000000"/>
                <w:lang w:eastAsia="zh-CN"/>
              </w:rPr>
            </w:pPr>
            <w:r w:rsidRPr="007B405D">
              <w:rPr>
                <w:bCs/>
                <w:iCs/>
                <w:color w:val="000000"/>
                <w:lang w:eastAsia="zh-CN"/>
              </w:rPr>
              <w:t>Số lượng</w:t>
            </w:r>
          </w:p>
          <w:p w14:paraId="6C9BFD51" w14:textId="77777777" w:rsidR="002325C7" w:rsidRPr="007B405D" w:rsidRDefault="002325C7" w:rsidP="006941E8">
            <w:pPr>
              <w:rPr>
                <w:bCs/>
                <w:iCs/>
                <w:color w:val="000000"/>
                <w:lang w:eastAsia="zh-CN"/>
              </w:rPr>
            </w:pPr>
            <w:r w:rsidRPr="007B405D">
              <w:rPr>
                <w:bCs/>
                <w:iCs/>
                <w:color w:val="000000"/>
                <w:lang w:eastAsia="zh-CN"/>
              </w:rPr>
              <w:t>tiếp nhận mới</w:t>
            </w:r>
          </w:p>
        </w:tc>
        <w:tc>
          <w:tcPr>
            <w:tcW w:w="418" w:type="pct"/>
            <w:tcBorders>
              <w:top w:val="nil"/>
              <w:left w:val="nil"/>
              <w:bottom w:val="single" w:sz="4" w:space="0" w:color="auto"/>
              <w:right w:val="single" w:sz="4" w:space="0" w:color="auto"/>
            </w:tcBorders>
            <w:shd w:val="clear" w:color="auto" w:fill="auto"/>
            <w:vAlign w:val="center"/>
            <w:hideMark/>
          </w:tcPr>
          <w:p w14:paraId="3751EB10" w14:textId="77777777" w:rsidR="002325C7" w:rsidRPr="007B405D" w:rsidRDefault="002325C7" w:rsidP="006941E8">
            <w:pPr>
              <w:jc w:val="center"/>
              <w:rPr>
                <w:bCs/>
                <w:iCs/>
                <w:color w:val="000000"/>
                <w:lang w:eastAsia="zh-CN"/>
              </w:rPr>
            </w:pPr>
            <w:r w:rsidRPr="007B405D">
              <w:rPr>
                <w:bCs/>
                <w:iCs/>
                <w:color w:val="000000"/>
                <w:lang w:eastAsia="zh-CN"/>
              </w:rPr>
              <w:t>Số tiền (tỷ đồng)</w:t>
            </w:r>
          </w:p>
        </w:tc>
        <w:tc>
          <w:tcPr>
            <w:tcW w:w="398" w:type="pct"/>
            <w:tcBorders>
              <w:top w:val="nil"/>
              <w:left w:val="nil"/>
              <w:bottom w:val="single" w:sz="4" w:space="0" w:color="auto"/>
              <w:right w:val="single" w:sz="4" w:space="0" w:color="auto"/>
            </w:tcBorders>
            <w:shd w:val="clear" w:color="auto" w:fill="auto"/>
            <w:vAlign w:val="center"/>
            <w:hideMark/>
          </w:tcPr>
          <w:p w14:paraId="5CB3882C" w14:textId="77777777" w:rsidR="002325C7" w:rsidRPr="007B405D" w:rsidRDefault="002325C7" w:rsidP="006941E8">
            <w:pPr>
              <w:jc w:val="center"/>
              <w:rPr>
                <w:bCs/>
                <w:iCs/>
                <w:color w:val="000000"/>
                <w:lang w:eastAsia="zh-CN"/>
              </w:rPr>
            </w:pPr>
            <w:r w:rsidRPr="007B405D">
              <w:rPr>
                <w:bCs/>
                <w:iCs/>
                <w:color w:val="000000"/>
                <w:lang w:eastAsia="zh-CN"/>
              </w:rPr>
              <w:t>Số hội thảo</w:t>
            </w:r>
          </w:p>
        </w:tc>
        <w:tc>
          <w:tcPr>
            <w:tcW w:w="418" w:type="pct"/>
            <w:tcBorders>
              <w:top w:val="nil"/>
              <w:left w:val="nil"/>
              <w:bottom w:val="single" w:sz="4" w:space="0" w:color="auto"/>
              <w:right w:val="single" w:sz="4" w:space="0" w:color="auto"/>
            </w:tcBorders>
            <w:shd w:val="clear" w:color="auto" w:fill="auto"/>
            <w:vAlign w:val="center"/>
            <w:hideMark/>
          </w:tcPr>
          <w:p w14:paraId="6E7BE523" w14:textId="77777777" w:rsidR="002325C7" w:rsidRPr="007B405D" w:rsidRDefault="002325C7" w:rsidP="006941E8">
            <w:pPr>
              <w:jc w:val="center"/>
              <w:rPr>
                <w:bCs/>
                <w:iCs/>
                <w:color w:val="000000"/>
                <w:lang w:eastAsia="zh-CN"/>
              </w:rPr>
            </w:pPr>
            <w:r w:rsidRPr="007B405D">
              <w:rPr>
                <w:bCs/>
                <w:iCs/>
                <w:color w:val="000000"/>
                <w:lang w:eastAsia="zh-CN"/>
              </w:rPr>
              <w:t>Số đại biểu</w:t>
            </w:r>
          </w:p>
        </w:tc>
      </w:tr>
      <w:tr w:rsidR="002325C7" w:rsidRPr="007B405D" w14:paraId="47D3BD07" w14:textId="77777777" w:rsidTr="006941E8">
        <w:trPr>
          <w:trHeight w:val="312"/>
          <w:jc w:val="center"/>
        </w:trPr>
        <w:tc>
          <w:tcPr>
            <w:tcW w:w="429" w:type="pct"/>
            <w:tcBorders>
              <w:top w:val="nil"/>
              <w:left w:val="single" w:sz="4" w:space="0" w:color="000000"/>
              <w:bottom w:val="single" w:sz="4" w:space="0" w:color="000000"/>
              <w:right w:val="single" w:sz="4" w:space="0" w:color="000000"/>
            </w:tcBorders>
            <w:shd w:val="clear" w:color="auto" w:fill="auto"/>
            <w:noWrap/>
            <w:vAlign w:val="bottom"/>
            <w:hideMark/>
          </w:tcPr>
          <w:p w14:paraId="33D8D01C" w14:textId="77777777" w:rsidR="002325C7" w:rsidRPr="007B405D" w:rsidRDefault="002325C7" w:rsidP="006941E8">
            <w:pPr>
              <w:jc w:val="center"/>
              <w:rPr>
                <w:color w:val="000000"/>
                <w:lang w:eastAsia="zh-CN"/>
              </w:rPr>
            </w:pPr>
            <w:r w:rsidRPr="007B405D">
              <w:rPr>
                <w:color w:val="000000"/>
                <w:lang w:eastAsia="zh-CN"/>
              </w:rPr>
              <w:t>2022</w:t>
            </w:r>
          </w:p>
        </w:tc>
        <w:tc>
          <w:tcPr>
            <w:tcW w:w="447" w:type="pct"/>
            <w:tcBorders>
              <w:top w:val="nil"/>
              <w:left w:val="single" w:sz="4" w:space="0" w:color="auto"/>
              <w:bottom w:val="single" w:sz="4" w:space="0" w:color="auto"/>
              <w:right w:val="single" w:sz="4" w:space="0" w:color="auto"/>
            </w:tcBorders>
            <w:shd w:val="clear" w:color="auto" w:fill="auto"/>
            <w:noWrap/>
            <w:vAlign w:val="center"/>
            <w:hideMark/>
          </w:tcPr>
          <w:p w14:paraId="1FB48336" w14:textId="77777777" w:rsidR="002325C7" w:rsidRPr="007B405D" w:rsidRDefault="002325C7" w:rsidP="006941E8">
            <w:pPr>
              <w:jc w:val="center"/>
              <w:rPr>
                <w:color w:val="000000"/>
                <w:lang w:eastAsia="zh-CN"/>
              </w:rPr>
            </w:pPr>
            <w:r w:rsidRPr="007B405D">
              <w:rPr>
                <w:color w:val="000000"/>
                <w:lang w:eastAsia="zh-CN"/>
              </w:rPr>
              <w:t>49</w:t>
            </w:r>
          </w:p>
        </w:tc>
        <w:tc>
          <w:tcPr>
            <w:tcW w:w="466" w:type="pct"/>
            <w:tcBorders>
              <w:top w:val="nil"/>
              <w:left w:val="nil"/>
              <w:bottom w:val="single" w:sz="4" w:space="0" w:color="auto"/>
              <w:right w:val="single" w:sz="4" w:space="0" w:color="auto"/>
            </w:tcBorders>
            <w:shd w:val="clear" w:color="auto" w:fill="auto"/>
            <w:noWrap/>
            <w:vAlign w:val="center"/>
            <w:hideMark/>
          </w:tcPr>
          <w:p w14:paraId="6B1A7B91" w14:textId="77777777" w:rsidR="002325C7" w:rsidRPr="007B405D" w:rsidRDefault="002325C7" w:rsidP="006941E8">
            <w:pPr>
              <w:jc w:val="center"/>
              <w:rPr>
                <w:color w:val="000000"/>
                <w:lang w:eastAsia="zh-CN"/>
              </w:rPr>
            </w:pPr>
            <w:r w:rsidRPr="007B405D">
              <w:rPr>
                <w:color w:val="000000"/>
                <w:lang w:eastAsia="zh-CN"/>
              </w:rPr>
              <w:t>2</w:t>
            </w:r>
          </w:p>
        </w:tc>
        <w:tc>
          <w:tcPr>
            <w:tcW w:w="332" w:type="pct"/>
            <w:tcBorders>
              <w:top w:val="nil"/>
              <w:left w:val="nil"/>
              <w:bottom w:val="single" w:sz="4" w:space="0" w:color="auto"/>
              <w:right w:val="single" w:sz="4" w:space="0" w:color="auto"/>
            </w:tcBorders>
            <w:shd w:val="clear" w:color="auto" w:fill="auto"/>
            <w:noWrap/>
            <w:vAlign w:val="center"/>
            <w:hideMark/>
          </w:tcPr>
          <w:p w14:paraId="7203586B" w14:textId="77777777" w:rsidR="002325C7" w:rsidRPr="007B405D" w:rsidRDefault="002325C7" w:rsidP="006941E8">
            <w:pPr>
              <w:jc w:val="center"/>
              <w:rPr>
                <w:color w:val="000000"/>
                <w:sz w:val="22"/>
                <w:szCs w:val="22"/>
                <w:lang w:eastAsia="zh-CN"/>
              </w:rPr>
            </w:pPr>
            <w:r w:rsidRPr="007B405D">
              <w:rPr>
                <w:color w:val="000000"/>
                <w:sz w:val="22"/>
                <w:szCs w:val="22"/>
                <w:lang w:eastAsia="zh-CN"/>
              </w:rPr>
              <w:t>3</w:t>
            </w:r>
          </w:p>
        </w:tc>
        <w:tc>
          <w:tcPr>
            <w:tcW w:w="300" w:type="pct"/>
            <w:tcBorders>
              <w:top w:val="nil"/>
              <w:left w:val="nil"/>
              <w:bottom w:val="single" w:sz="4" w:space="0" w:color="auto"/>
              <w:right w:val="single" w:sz="4" w:space="0" w:color="auto"/>
            </w:tcBorders>
            <w:shd w:val="clear" w:color="auto" w:fill="auto"/>
            <w:noWrap/>
            <w:vAlign w:val="center"/>
            <w:hideMark/>
          </w:tcPr>
          <w:p w14:paraId="0563ECB2"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w:t>
            </w:r>
          </w:p>
        </w:tc>
        <w:tc>
          <w:tcPr>
            <w:tcW w:w="466" w:type="pct"/>
            <w:tcBorders>
              <w:top w:val="nil"/>
              <w:left w:val="nil"/>
              <w:bottom w:val="single" w:sz="4" w:space="0" w:color="auto"/>
              <w:right w:val="single" w:sz="4" w:space="0" w:color="auto"/>
            </w:tcBorders>
            <w:shd w:val="clear" w:color="auto" w:fill="auto"/>
            <w:noWrap/>
            <w:vAlign w:val="center"/>
            <w:hideMark/>
          </w:tcPr>
          <w:p w14:paraId="657C2AD3" w14:textId="77777777" w:rsidR="002325C7" w:rsidRPr="007B405D" w:rsidRDefault="002325C7" w:rsidP="006941E8">
            <w:pPr>
              <w:jc w:val="center"/>
              <w:rPr>
                <w:color w:val="000000"/>
                <w:sz w:val="22"/>
                <w:szCs w:val="22"/>
                <w:lang w:eastAsia="zh-CN"/>
              </w:rPr>
            </w:pPr>
            <w:r w:rsidRPr="007B405D">
              <w:rPr>
                <w:color w:val="000000"/>
                <w:sz w:val="22"/>
                <w:szCs w:val="22"/>
                <w:lang w:eastAsia="zh-CN"/>
              </w:rPr>
              <w:t>77</w:t>
            </w:r>
          </w:p>
        </w:tc>
        <w:tc>
          <w:tcPr>
            <w:tcW w:w="466" w:type="pct"/>
            <w:tcBorders>
              <w:top w:val="nil"/>
              <w:left w:val="nil"/>
              <w:bottom w:val="single" w:sz="4" w:space="0" w:color="auto"/>
              <w:right w:val="single" w:sz="4" w:space="0" w:color="auto"/>
            </w:tcBorders>
            <w:shd w:val="clear" w:color="auto" w:fill="auto"/>
            <w:noWrap/>
            <w:vAlign w:val="center"/>
            <w:hideMark/>
          </w:tcPr>
          <w:p w14:paraId="6783C966" w14:textId="77777777" w:rsidR="002325C7" w:rsidRPr="007B405D" w:rsidRDefault="002325C7" w:rsidP="006941E8">
            <w:pPr>
              <w:jc w:val="center"/>
              <w:rPr>
                <w:color w:val="000000"/>
                <w:lang w:eastAsia="zh-CN"/>
              </w:rPr>
            </w:pPr>
            <w:r w:rsidRPr="007B405D">
              <w:rPr>
                <w:color w:val="000000"/>
                <w:lang w:eastAsia="zh-CN"/>
              </w:rPr>
              <w:t>12</w:t>
            </w:r>
          </w:p>
        </w:tc>
        <w:tc>
          <w:tcPr>
            <w:tcW w:w="466" w:type="pct"/>
            <w:tcBorders>
              <w:top w:val="nil"/>
              <w:left w:val="nil"/>
              <w:bottom w:val="single" w:sz="4" w:space="0" w:color="auto"/>
              <w:right w:val="single" w:sz="4" w:space="0" w:color="auto"/>
            </w:tcBorders>
            <w:shd w:val="clear" w:color="auto" w:fill="auto"/>
            <w:noWrap/>
            <w:vAlign w:val="center"/>
            <w:hideMark/>
          </w:tcPr>
          <w:p w14:paraId="45D24BB6" w14:textId="77777777" w:rsidR="002325C7" w:rsidRPr="007B405D" w:rsidRDefault="002325C7" w:rsidP="006941E8">
            <w:pPr>
              <w:jc w:val="center"/>
              <w:rPr>
                <w:color w:val="000000"/>
                <w:lang w:eastAsia="zh-CN"/>
              </w:rPr>
            </w:pPr>
            <w:r w:rsidRPr="007B405D">
              <w:rPr>
                <w:color w:val="000000"/>
                <w:lang w:eastAsia="zh-CN"/>
              </w:rPr>
              <w:t>24</w:t>
            </w:r>
          </w:p>
        </w:tc>
        <w:tc>
          <w:tcPr>
            <w:tcW w:w="393" w:type="pct"/>
            <w:tcBorders>
              <w:top w:val="nil"/>
              <w:left w:val="nil"/>
              <w:bottom w:val="single" w:sz="4" w:space="0" w:color="auto"/>
              <w:right w:val="single" w:sz="4" w:space="0" w:color="auto"/>
            </w:tcBorders>
            <w:shd w:val="clear" w:color="auto" w:fill="auto"/>
            <w:noWrap/>
            <w:vAlign w:val="center"/>
            <w:hideMark/>
          </w:tcPr>
          <w:p w14:paraId="2FAF500C" w14:textId="77777777" w:rsidR="002325C7" w:rsidRPr="007B405D" w:rsidRDefault="002325C7" w:rsidP="006941E8">
            <w:pPr>
              <w:jc w:val="center"/>
              <w:rPr>
                <w:color w:val="000000"/>
                <w:lang w:eastAsia="zh-CN"/>
              </w:rPr>
            </w:pPr>
            <w:r w:rsidRPr="007B405D">
              <w:rPr>
                <w:color w:val="000000"/>
                <w:lang w:eastAsia="zh-CN"/>
              </w:rPr>
              <w:t>14</w:t>
            </w:r>
          </w:p>
        </w:tc>
        <w:tc>
          <w:tcPr>
            <w:tcW w:w="418" w:type="pct"/>
            <w:tcBorders>
              <w:top w:val="nil"/>
              <w:left w:val="nil"/>
              <w:bottom w:val="single" w:sz="4" w:space="0" w:color="auto"/>
              <w:right w:val="single" w:sz="4" w:space="0" w:color="auto"/>
            </w:tcBorders>
            <w:shd w:val="clear" w:color="auto" w:fill="auto"/>
            <w:noWrap/>
            <w:vAlign w:val="center"/>
            <w:hideMark/>
          </w:tcPr>
          <w:p w14:paraId="739EA869" w14:textId="77777777" w:rsidR="002325C7" w:rsidRPr="007B405D" w:rsidRDefault="002325C7" w:rsidP="006941E8">
            <w:pPr>
              <w:jc w:val="center"/>
              <w:rPr>
                <w:color w:val="000000"/>
                <w:lang w:eastAsia="zh-CN"/>
              </w:rPr>
            </w:pPr>
            <w:r w:rsidRPr="007B405D">
              <w:rPr>
                <w:color w:val="000000"/>
                <w:lang w:eastAsia="zh-CN"/>
              </w:rPr>
              <w:t>35</w:t>
            </w:r>
          </w:p>
        </w:tc>
        <w:tc>
          <w:tcPr>
            <w:tcW w:w="398" w:type="pct"/>
            <w:tcBorders>
              <w:top w:val="nil"/>
              <w:left w:val="nil"/>
              <w:bottom w:val="single" w:sz="4" w:space="0" w:color="auto"/>
              <w:right w:val="single" w:sz="4" w:space="0" w:color="auto"/>
            </w:tcBorders>
            <w:shd w:val="clear" w:color="auto" w:fill="auto"/>
            <w:noWrap/>
            <w:vAlign w:val="center"/>
            <w:hideMark/>
          </w:tcPr>
          <w:p w14:paraId="28AFABFF"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13</w:t>
            </w:r>
          </w:p>
        </w:tc>
        <w:tc>
          <w:tcPr>
            <w:tcW w:w="418" w:type="pct"/>
            <w:tcBorders>
              <w:top w:val="nil"/>
              <w:left w:val="nil"/>
              <w:bottom w:val="single" w:sz="4" w:space="0" w:color="auto"/>
              <w:right w:val="single" w:sz="4" w:space="0" w:color="auto"/>
            </w:tcBorders>
            <w:shd w:val="clear" w:color="auto" w:fill="auto"/>
            <w:noWrap/>
            <w:vAlign w:val="center"/>
            <w:hideMark/>
          </w:tcPr>
          <w:p w14:paraId="7666262E"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1080</w:t>
            </w:r>
          </w:p>
        </w:tc>
      </w:tr>
      <w:tr w:rsidR="002325C7" w:rsidRPr="007B405D" w14:paraId="2E08D1EE" w14:textId="77777777" w:rsidTr="006941E8">
        <w:trPr>
          <w:trHeight w:val="312"/>
          <w:jc w:val="center"/>
        </w:trPr>
        <w:tc>
          <w:tcPr>
            <w:tcW w:w="429" w:type="pct"/>
            <w:tcBorders>
              <w:top w:val="nil"/>
              <w:left w:val="single" w:sz="4" w:space="0" w:color="000000"/>
              <w:bottom w:val="single" w:sz="4" w:space="0" w:color="000000"/>
              <w:right w:val="single" w:sz="4" w:space="0" w:color="000000"/>
            </w:tcBorders>
            <w:shd w:val="clear" w:color="auto" w:fill="auto"/>
            <w:noWrap/>
            <w:vAlign w:val="bottom"/>
            <w:hideMark/>
          </w:tcPr>
          <w:p w14:paraId="21079B5F" w14:textId="77777777" w:rsidR="002325C7" w:rsidRPr="007B405D" w:rsidRDefault="002325C7" w:rsidP="006941E8">
            <w:pPr>
              <w:jc w:val="center"/>
              <w:rPr>
                <w:color w:val="000000"/>
                <w:lang w:eastAsia="zh-CN"/>
              </w:rPr>
            </w:pPr>
            <w:r w:rsidRPr="007B405D">
              <w:rPr>
                <w:color w:val="000000"/>
                <w:lang w:eastAsia="zh-CN"/>
              </w:rPr>
              <w:t>2023</w:t>
            </w:r>
          </w:p>
        </w:tc>
        <w:tc>
          <w:tcPr>
            <w:tcW w:w="447" w:type="pct"/>
            <w:tcBorders>
              <w:top w:val="nil"/>
              <w:left w:val="single" w:sz="4" w:space="0" w:color="auto"/>
              <w:bottom w:val="single" w:sz="4" w:space="0" w:color="auto"/>
              <w:right w:val="single" w:sz="4" w:space="0" w:color="auto"/>
            </w:tcBorders>
            <w:shd w:val="clear" w:color="auto" w:fill="auto"/>
            <w:noWrap/>
            <w:vAlign w:val="center"/>
            <w:hideMark/>
          </w:tcPr>
          <w:p w14:paraId="3BE05F95" w14:textId="77777777" w:rsidR="002325C7" w:rsidRPr="007B405D" w:rsidRDefault="002325C7" w:rsidP="006941E8">
            <w:pPr>
              <w:jc w:val="center"/>
              <w:rPr>
                <w:color w:val="000000"/>
                <w:lang w:eastAsia="zh-CN"/>
              </w:rPr>
            </w:pPr>
            <w:r w:rsidRPr="007B405D">
              <w:rPr>
                <w:color w:val="000000"/>
                <w:lang w:eastAsia="zh-CN"/>
              </w:rPr>
              <w:t>360</w:t>
            </w:r>
          </w:p>
        </w:tc>
        <w:tc>
          <w:tcPr>
            <w:tcW w:w="466" w:type="pct"/>
            <w:tcBorders>
              <w:top w:val="nil"/>
              <w:left w:val="nil"/>
              <w:bottom w:val="single" w:sz="4" w:space="0" w:color="auto"/>
              <w:right w:val="single" w:sz="4" w:space="0" w:color="auto"/>
            </w:tcBorders>
            <w:shd w:val="clear" w:color="auto" w:fill="auto"/>
            <w:noWrap/>
            <w:vAlign w:val="center"/>
            <w:hideMark/>
          </w:tcPr>
          <w:p w14:paraId="29BFA954" w14:textId="77777777" w:rsidR="002325C7" w:rsidRPr="007B405D" w:rsidRDefault="002325C7" w:rsidP="006941E8">
            <w:pPr>
              <w:jc w:val="center"/>
              <w:rPr>
                <w:color w:val="000000"/>
                <w:lang w:eastAsia="zh-CN"/>
              </w:rPr>
            </w:pPr>
            <w:r w:rsidRPr="007B405D">
              <w:rPr>
                <w:color w:val="000000"/>
                <w:lang w:eastAsia="zh-CN"/>
              </w:rPr>
              <w:t>70</w:t>
            </w:r>
          </w:p>
        </w:tc>
        <w:tc>
          <w:tcPr>
            <w:tcW w:w="332" w:type="pct"/>
            <w:tcBorders>
              <w:top w:val="nil"/>
              <w:left w:val="nil"/>
              <w:bottom w:val="single" w:sz="4" w:space="0" w:color="auto"/>
              <w:right w:val="single" w:sz="4" w:space="0" w:color="auto"/>
            </w:tcBorders>
            <w:shd w:val="clear" w:color="auto" w:fill="auto"/>
            <w:noWrap/>
            <w:vAlign w:val="center"/>
            <w:hideMark/>
          </w:tcPr>
          <w:p w14:paraId="38CFB8F5" w14:textId="77777777" w:rsidR="002325C7" w:rsidRPr="007B405D" w:rsidRDefault="002325C7" w:rsidP="006941E8">
            <w:pPr>
              <w:jc w:val="center"/>
              <w:rPr>
                <w:color w:val="000000"/>
                <w:lang w:eastAsia="zh-CN"/>
              </w:rPr>
            </w:pPr>
            <w:r w:rsidRPr="007B405D">
              <w:rPr>
                <w:color w:val="000000"/>
                <w:lang w:eastAsia="zh-CN"/>
              </w:rPr>
              <w:t>13</w:t>
            </w:r>
          </w:p>
        </w:tc>
        <w:tc>
          <w:tcPr>
            <w:tcW w:w="300" w:type="pct"/>
            <w:tcBorders>
              <w:top w:val="nil"/>
              <w:left w:val="nil"/>
              <w:bottom w:val="single" w:sz="4" w:space="0" w:color="auto"/>
              <w:right w:val="single" w:sz="4" w:space="0" w:color="auto"/>
            </w:tcBorders>
            <w:shd w:val="clear" w:color="auto" w:fill="auto"/>
            <w:noWrap/>
            <w:vAlign w:val="center"/>
            <w:hideMark/>
          </w:tcPr>
          <w:p w14:paraId="13F766BF" w14:textId="77777777" w:rsidR="002325C7" w:rsidRPr="007B405D" w:rsidRDefault="002325C7" w:rsidP="006941E8">
            <w:pPr>
              <w:jc w:val="center"/>
              <w:rPr>
                <w:color w:val="000000"/>
                <w:lang w:eastAsia="zh-CN"/>
              </w:rPr>
            </w:pPr>
            <w:r w:rsidRPr="007B405D">
              <w:rPr>
                <w:color w:val="000000"/>
                <w:lang w:eastAsia="zh-CN"/>
              </w:rPr>
              <w:t>4</w:t>
            </w:r>
          </w:p>
        </w:tc>
        <w:tc>
          <w:tcPr>
            <w:tcW w:w="466" w:type="pct"/>
            <w:tcBorders>
              <w:top w:val="nil"/>
              <w:left w:val="nil"/>
              <w:bottom w:val="single" w:sz="4" w:space="0" w:color="auto"/>
              <w:right w:val="single" w:sz="4" w:space="0" w:color="auto"/>
            </w:tcBorders>
            <w:shd w:val="clear" w:color="auto" w:fill="auto"/>
            <w:noWrap/>
            <w:vAlign w:val="center"/>
            <w:hideMark/>
          </w:tcPr>
          <w:p w14:paraId="152D7BC4" w14:textId="77777777" w:rsidR="002325C7" w:rsidRPr="007B405D" w:rsidRDefault="002325C7" w:rsidP="006941E8">
            <w:pPr>
              <w:jc w:val="center"/>
              <w:rPr>
                <w:color w:val="000000"/>
                <w:lang w:eastAsia="zh-CN"/>
              </w:rPr>
            </w:pPr>
            <w:r w:rsidRPr="007B405D">
              <w:rPr>
                <w:color w:val="000000"/>
                <w:lang w:eastAsia="zh-CN"/>
              </w:rPr>
              <w:t>147</w:t>
            </w:r>
          </w:p>
        </w:tc>
        <w:tc>
          <w:tcPr>
            <w:tcW w:w="466" w:type="pct"/>
            <w:tcBorders>
              <w:top w:val="nil"/>
              <w:left w:val="nil"/>
              <w:bottom w:val="single" w:sz="4" w:space="0" w:color="auto"/>
              <w:right w:val="single" w:sz="4" w:space="0" w:color="auto"/>
            </w:tcBorders>
            <w:shd w:val="clear" w:color="auto" w:fill="auto"/>
            <w:noWrap/>
            <w:vAlign w:val="center"/>
            <w:hideMark/>
          </w:tcPr>
          <w:p w14:paraId="0CF1C188" w14:textId="77777777" w:rsidR="002325C7" w:rsidRPr="007B405D" w:rsidRDefault="002325C7" w:rsidP="006941E8">
            <w:pPr>
              <w:jc w:val="center"/>
              <w:rPr>
                <w:color w:val="000000"/>
                <w:lang w:eastAsia="zh-CN"/>
              </w:rPr>
            </w:pPr>
            <w:r w:rsidRPr="007B405D">
              <w:rPr>
                <w:color w:val="000000"/>
                <w:lang w:eastAsia="zh-CN"/>
              </w:rPr>
              <w:t>25</w:t>
            </w:r>
          </w:p>
        </w:tc>
        <w:tc>
          <w:tcPr>
            <w:tcW w:w="466" w:type="pct"/>
            <w:tcBorders>
              <w:top w:val="nil"/>
              <w:left w:val="nil"/>
              <w:bottom w:val="single" w:sz="4" w:space="0" w:color="auto"/>
              <w:right w:val="single" w:sz="4" w:space="0" w:color="auto"/>
            </w:tcBorders>
            <w:shd w:val="clear" w:color="auto" w:fill="auto"/>
            <w:noWrap/>
            <w:vAlign w:val="center"/>
            <w:hideMark/>
          </w:tcPr>
          <w:p w14:paraId="319A4225" w14:textId="77777777" w:rsidR="002325C7" w:rsidRPr="007B405D" w:rsidRDefault="002325C7" w:rsidP="006941E8">
            <w:pPr>
              <w:jc w:val="center"/>
              <w:rPr>
                <w:color w:val="000000"/>
                <w:lang w:eastAsia="zh-CN"/>
              </w:rPr>
            </w:pPr>
            <w:r w:rsidRPr="007B405D">
              <w:rPr>
                <w:color w:val="000000"/>
                <w:lang w:eastAsia="zh-CN"/>
              </w:rPr>
              <w:t>15</w:t>
            </w:r>
          </w:p>
        </w:tc>
        <w:tc>
          <w:tcPr>
            <w:tcW w:w="393" w:type="pct"/>
            <w:tcBorders>
              <w:top w:val="nil"/>
              <w:left w:val="nil"/>
              <w:bottom w:val="single" w:sz="4" w:space="0" w:color="auto"/>
              <w:right w:val="single" w:sz="4" w:space="0" w:color="auto"/>
            </w:tcBorders>
            <w:shd w:val="clear" w:color="auto" w:fill="auto"/>
            <w:noWrap/>
            <w:vAlign w:val="center"/>
            <w:hideMark/>
          </w:tcPr>
          <w:p w14:paraId="05E840B7" w14:textId="77777777" w:rsidR="002325C7" w:rsidRPr="007B405D" w:rsidRDefault="002325C7" w:rsidP="006941E8">
            <w:pPr>
              <w:jc w:val="center"/>
              <w:rPr>
                <w:color w:val="000000"/>
                <w:lang w:eastAsia="zh-CN"/>
              </w:rPr>
            </w:pPr>
            <w:r w:rsidRPr="007B405D">
              <w:rPr>
                <w:color w:val="000000"/>
                <w:lang w:eastAsia="zh-CN"/>
              </w:rPr>
              <w:t>6</w:t>
            </w:r>
          </w:p>
        </w:tc>
        <w:tc>
          <w:tcPr>
            <w:tcW w:w="418" w:type="pct"/>
            <w:tcBorders>
              <w:top w:val="nil"/>
              <w:left w:val="nil"/>
              <w:bottom w:val="single" w:sz="4" w:space="0" w:color="auto"/>
              <w:right w:val="single" w:sz="4" w:space="0" w:color="auto"/>
            </w:tcBorders>
            <w:shd w:val="clear" w:color="auto" w:fill="auto"/>
            <w:noWrap/>
            <w:vAlign w:val="center"/>
            <w:hideMark/>
          </w:tcPr>
          <w:p w14:paraId="3A075398" w14:textId="77777777" w:rsidR="002325C7" w:rsidRPr="007B405D" w:rsidRDefault="002325C7" w:rsidP="006941E8">
            <w:pPr>
              <w:jc w:val="center"/>
              <w:rPr>
                <w:color w:val="000000"/>
                <w:lang w:eastAsia="zh-CN"/>
              </w:rPr>
            </w:pPr>
            <w:r w:rsidRPr="007B405D">
              <w:rPr>
                <w:color w:val="000000"/>
                <w:lang w:eastAsia="zh-CN"/>
              </w:rPr>
              <w:t>319</w:t>
            </w:r>
          </w:p>
        </w:tc>
        <w:tc>
          <w:tcPr>
            <w:tcW w:w="398" w:type="pct"/>
            <w:tcBorders>
              <w:top w:val="nil"/>
              <w:left w:val="nil"/>
              <w:bottom w:val="single" w:sz="4" w:space="0" w:color="auto"/>
              <w:right w:val="single" w:sz="4" w:space="0" w:color="auto"/>
            </w:tcBorders>
            <w:shd w:val="clear" w:color="auto" w:fill="auto"/>
            <w:noWrap/>
            <w:vAlign w:val="center"/>
            <w:hideMark/>
          </w:tcPr>
          <w:p w14:paraId="461EC104" w14:textId="77777777" w:rsidR="002325C7" w:rsidRPr="007B405D" w:rsidRDefault="002325C7" w:rsidP="006941E8">
            <w:pPr>
              <w:jc w:val="center"/>
              <w:rPr>
                <w:color w:val="000000"/>
                <w:lang w:eastAsia="zh-CN"/>
              </w:rPr>
            </w:pPr>
            <w:r w:rsidRPr="007B405D">
              <w:rPr>
                <w:color w:val="000000"/>
                <w:lang w:eastAsia="zh-CN"/>
              </w:rPr>
              <w:t>7</w:t>
            </w:r>
          </w:p>
        </w:tc>
        <w:tc>
          <w:tcPr>
            <w:tcW w:w="418" w:type="pct"/>
            <w:tcBorders>
              <w:top w:val="nil"/>
              <w:left w:val="nil"/>
              <w:bottom w:val="single" w:sz="4" w:space="0" w:color="auto"/>
              <w:right w:val="single" w:sz="4" w:space="0" w:color="auto"/>
            </w:tcBorders>
            <w:shd w:val="clear" w:color="auto" w:fill="auto"/>
            <w:noWrap/>
            <w:vAlign w:val="center"/>
            <w:hideMark/>
          </w:tcPr>
          <w:p w14:paraId="24DF8548" w14:textId="77777777" w:rsidR="002325C7" w:rsidRPr="007B405D" w:rsidRDefault="002325C7" w:rsidP="006941E8">
            <w:pPr>
              <w:jc w:val="center"/>
              <w:rPr>
                <w:color w:val="000000"/>
                <w:lang w:eastAsia="zh-CN"/>
              </w:rPr>
            </w:pPr>
            <w:r w:rsidRPr="007B405D">
              <w:rPr>
                <w:color w:val="000000"/>
                <w:lang w:eastAsia="zh-CN"/>
              </w:rPr>
              <w:t>449</w:t>
            </w:r>
          </w:p>
        </w:tc>
      </w:tr>
      <w:tr w:rsidR="002325C7" w:rsidRPr="007B405D" w14:paraId="0340768D" w14:textId="77777777" w:rsidTr="006941E8">
        <w:trPr>
          <w:trHeight w:val="312"/>
          <w:jc w:val="center"/>
        </w:trPr>
        <w:tc>
          <w:tcPr>
            <w:tcW w:w="429" w:type="pct"/>
            <w:tcBorders>
              <w:top w:val="nil"/>
              <w:left w:val="single" w:sz="4" w:space="0" w:color="000000"/>
              <w:bottom w:val="single" w:sz="4" w:space="0" w:color="000000"/>
              <w:right w:val="single" w:sz="4" w:space="0" w:color="000000"/>
            </w:tcBorders>
            <w:shd w:val="clear" w:color="auto" w:fill="auto"/>
            <w:noWrap/>
            <w:vAlign w:val="bottom"/>
            <w:hideMark/>
          </w:tcPr>
          <w:p w14:paraId="236A68D6" w14:textId="77777777" w:rsidR="002325C7" w:rsidRPr="007B405D" w:rsidRDefault="002325C7" w:rsidP="006941E8">
            <w:pPr>
              <w:jc w:val="center"/>
              <w:rPr>
                <w:color w:val="000000"/>
                <w:lang w:eastAsia="zh-CN"/>
              </w:rPr>
            </w:pPr>
            <w:r w:rsidRPr="007B405D">
              <w:rPr>
                <w:color w:val="000000"/>
                <w:lang w:eastAsia="zh-CN"/>
              </w:rPr>
              <w:t>8/2024</w:t>
            </w:r>
          </w:p>
        </w:tc>
        <w:tc>
          <w:tcPr>
            <w:tcW w:w="447" w:type="pct"/>
            <w:tcBorders>
              <w:top w:val="nil"/>
              <w:left w:val="single" w:sz="4" w:space="0" w:color="auto"/>
              <w:bottom w:val="single" w:sz="4" w:space="0" w:color="auto"/>
              <w:right w:val="single" w:sz="4" w:space="0" w:color="auto"/>
            </w:tcBorders>
            <w:shd w:val="clear" w:color="auto" w:fill="auto"/>
            <w:noWrap/>
            <w:vAlign w:val="center"/>
            <w:hideMark/>
          </w:tcPr>
          <w:p w14:paraId="44449742" w14:textId="77777777" w:rsidR="002325C7" w:rsidRPr="007B405D" w:rsidRDefault="002325C7" w:rsidP="006941E8">
            <w:pPr>
              <w:jc w:val="center"/>
              <w:rPr>
                <w:color w:val="000000"/>
                <w:lang w:eastAsia="zh-CN"/>
              </w:rPr>
            </w:pPr>
            <w:r w:rsidRPr="007B405D">
              <w:rPr>
                <w:color w:val="000000"/>
                <w:lang w:eastAsia="zh-CN"/>
              </w:rPr>
              <w:t>308</w:t>
            </w:r>
          </w:p>
        </w:tc>
        <w:tc>
          <w:tcPr>
            <w:tcW w:w="466" w:type="pct"/>
            <w:tcBorders>
              <w:top w:val="nil"/>
              <w:left w:val="nil"/>
              <w:bottom w:val="single" w:sz="4" w:space="0" w:color="auto"/>
              <w:right w:val="single" w:sz="4" w:space="0" w:color="auto"/>
            </w:tcBorders>
            <w:shd w:val="clear" w:color="auto" w:fill="auto"/>
            <w:noWrap/>
            <w:vAlign w:val="center"/>
            <w:hideMark/>
          </w:tcPr>
          <w:p w14:paraId="166B9DB0" w14:textId="77777777" w:rsidR="002325C7" w:rsidRPr="007B405D" w:rsidRDefault="002325C7" w:rsidP="006941E8">
            <w:pPr>
              <w:jc w:val="center"/>
              <w:rPr>
                <w:color w:val="000000"/>
                <w:lang w:eastAsia="zh-CN"/>
              </w:rPr>
            </w:pPr>
            <w:r w:rsidRPr="007B405D">
              <w:rPr>
                <w:color w:val="000000"/>
                <w:lang w:eastAsia="zh-CN"/>
              </w:rPr>
              <w:t>21</w:t>
            </w:r>
          </w:p>
        </w:tc>
        <w:tc>
          <w:tcPr>
            <w:tcW w:w="332" w:type="pct"/>
            <w:tcBorders>
              <w:top w:val="nil"/>
              <w:left w:val="nil"/>
              <w:bottom w:val="single" w:sz="4" w:space="0" w:color="auto"/>
              <w:right w:val="single" w:sz="4" w:space="0" w:color="auto"/>
            </w:tcBorders>
            <w:shd w:val="clear" w:color="auto" w:fill="auto"/>
            <w:noWrap/>
            <w:vAlign w:val="center"/>
            <w:hideMark/>
          </w:tcPr>
          <w:p w14:paraId="398D3331" w14:textId="77777777" w:rsidR="002325C7" w:rsidRPr="007B405D" w:rsidRDefault="002325C7" w:rsidP="006941E8">
            <w:pPr>
              <w:jc w:val="center"/>
              <w:rPr>
                <w:color w:val="000000"/>
                <w:lang w:eastAsia="zh-CN"/>
              </w:rPr>
            </w:pPr>
            <w:r w:rsidRPr="007B405D">
              <w:rPr>
                <w:color w:val="000000"/>
                <w:lang w:eastAsia="zh-CN"/>
              </w:rPr>
              <w:t>2</w:t>
            </w:r>
          </w:p>
        </w:tc>
        <w:tc>
          <w:tcPr>
            <w:tcW w:w="300" w:type="pct"/>
            <w:tcBorders>
              <w:top w:val="nil"/>
              <w:left w:val="nil"/>
              <w:bottom w:val="single" w:sz="4" w:space="0" w:color="auto"/>
              <w:right w:val="single" w:sz="4" w:space="0" w:color="auto"/>
            </w:tcBorders>
            <w:shd w:val="clear" w:color="auto" w:fill="auto"/>
            <w:noWrap/>
            <w:vAlign w:val="center"/>
            <w:hideMark/>
          </w:tcPr>
          <w:p w14:paraId="78F1B8DD" w14:textId="77777777" w:rsidR="002325C7" w:rsidRPr="007B405D" w:rsidRDefault="002325C7" w:rsidP="006941E8">
            <w:pPr>
              <w:jc w:val="center"/>
              <w:rPr>
                <w:color w:val="000000"/>
                <w:lang w:eastAsia="zh-CN"/>
              </w:rPr>
            </w:pPr>
            <w:r w:rsidRPr="007B405D">
              <w:rPr>
                <w:color w:val="000000"/>
                <w:lang w:eastAsia="zh-CN"/>
              </w:rPr>
              <w:t>2</w:t>
            </w:r>
          </w:p>
        </w:tc>
        <w:tc>
          <w:tcPr>
            <w:tcW w:w="466" w:type="pct"/>
            <w:tcBorders>
              <w:top w:val="nil"/>
              <w:left w:val="nil"/>
              <w:bottom w:val="single" w:sz="4" w:space="0" w:color="auto"/>
              <w:right w:val="single" w:sz="4" w:space="0" w:color="auto"/>
            </w:tcBorders>
            <w:shd w:val="clear" w:color="auto" w:fill="auto"/>
            <w:noWrap/>
            <w:vAlign w:val="center"/>
            <w:hideMark/>
          </w:tcPr>
          <w:p w14:paraId="6C4DDCDC" w14:textId="77777777" w:rsidR="002325C7" w:rsidRPr="007B405D" w:rsidRDefault="002325C7" w:rsidP="006941E8">
            <w:pPr>
              <w:jc w:val="center"/>
              <w:rPr>
                <w:color w:val="000000"/>
                <w:lang w:eastAsia="zh-CN"/>
              </w:rPr>
            </w:pPr>
            <w:r w:rsidRPr="007B405D">
              <w:rPr>
                <w:color w:val="000000"/>
                <w:lang w:eastAsia="zh-CN"/>
              </w:rPr>
              <w:t>35</w:t>
            </w:r>
          </w:p>
        </w:tc>
        <w:tc>
          <w:tcPr>
            <w:tcW w:w="466" w:type="pct"/>
            <w:tcBorders>
              <w:top w:val="nil"/>
              <w:left w:val="nil"/>
              <w:bottom w:val="single" w:sz="4" w:space="0" w:color="auto"/>
              <w:right w:val="single" w:sz="4" w:space="0" w:color="auto"/>
            </w:tcBorders>
            <w:shd w:val="clear" w:color="auto" w:fill="auto"/>
            <w:noWrap/>
            <w:vAlign w:val="center"/>
            <w:hideMark/>
          </w:tcPr>
          <w:p w14:paraId="021ED764" w14:textId="77777777" w:rsidR="002325C7" w:rsidRPr="007B405D" w:rsidRDefault="002325C7" w:rsidP="006941E8">
            <w:pPr>
              <w:jc w:val="center"/>
              <w:rPr>
                <w:color w:val="000000"/>
                <w:lang w:eastAsia="zh-CN"/>
              </w:rPr>
            </w:pPr>
            <w:r w:rsidRPr="007B405D">
              <w:rPr>
                <w:color w:val="000000"/>
                <w:lang w:eastAsia="zh-CN"/>
              </w:rPr>
              <w:t>17</w:t>
            </w:r>
          </w:p>
        </w:tc>
        <w:tc>
          <w:tcPr>
            <w:tcW w:w="466" w:type="pct"/>
            <w:tcBorders>
              <w:top w:val="nil"/>
              <w:left w:val="nil"/>
              <w:bottom w:val="single" w:sz="4" w:space="0" w:color="auto"/>
              <w:right w:val="single" w:sz="4" w:space="0" w:color="auto"/>
            </w:tcBorders>
            <w:shd w:val="clear" w:color="auto" w:fill="auto"/>
            <w:noWrap/>
            <w:vAlign w:val="center"/>
            <w:hideMark/>
          </w:tcPr>
          <w:p w14:paraId="7439C75B" w14:textId="77777777" w:rsidR="002325C7" w:rsidRPr="007B405D" w:rsidRDefault="002325C7" w:rsidP="006941E8">
            <w:pPr>
              <w:jc w:val="center"/>
              <w:rPr>
                <w:color w:val="000000"/>
                <w:lang w:eastAsia="zh-CN"/>
              </w:rPr>
            </w:pPr>
            <w:r w:rsidRPr="007B405D">
              <w:rPr>
                <w:color w:val="000000"/>
                <w:lang w:eastAsia="zh-CN"/>
              </w:rPr>
              <w:t>9</w:t>
            </w:r>
          </w:p>
        </w:tc>
        <w:tc>
          <w:tcPr>
            <w:tcW w:w="393" w:type="pct"/>
            <w:tcBorders>
              <w:top w:val="nil"/>
              <w:left w:val="nil"/>
              <w:bottom w:val="single" w:sz="4" w:space="0" w:color="auto"/>
              <w:right w:val="single" w:sz="4" w:space="0" w:color="auto"/>
            </w:tcBorders>
            <w:shd w:val="clear" w:color="auto" w:fill="auto"/>
            <w:noWrap/>
            <w:vAlign w:val="center"/>
            <w:hideMark/>
          </w:tcPr>
          <w:p w14:paraId="67A1D875" w14:textId="77777777" w:rsidR="002325C7" w:rsidRPr="007B405D" w:rsidRDefault="002325C7" w:rsidP="006941E8">
            <w:pPr>
              <w:jc w:val="center"/>
              <w:rPr>
                <w:color w:val="000000"/>
                <w:lang w:eastAsia="zh-CN"/>
              </w:rPr>
            </w:pPr>
            <w:r w:rsidRPr="007B405D">
              <w:rPr>
                <w:color w:val="000000"/>
                <w:lang w:eastAsia="zh-CN"/>
              </w:rPr>
              <w:t>0</w:t>
            </w:r>
          </w:p>
        </w:tc>
        <w:tc>
          <w:tcPr>
            <w:tcW w:w="418" w:type="pct"/>
            <w:tcBorders>
              <w:top w:val="nil"/>
              <w:left w:val="nil"/>
              <w:bottom w:val="single" w:sz="4" w:space="0" w:color="auto"/>
              <w:right w:val="single" w:sz="4" w:space="0" w:color="auto"/>
            </w:tcBorders>
            <w:shd w:val="clear" w:color="auto" w:fill="auto"/>
            <w:noWrap/>
            <w:vAlign w:val="center"/>
            <w:hideMark/>
          </w:tcPr>
          <w:p w14:paraId="46F9EEB9" w14:textId="77777777" w:rsidR="002325C7" w:rsidRPr="007B405D" w:rsidRDefault="002325C7" w:rsidP="006941E8">
            <w:pPr>
              <w:jc w:val="center"/>
              <w:rPr>
                <w:color w:val="000000"/>
                <w:lang w:eastAsia="zh-CN"/>
              </w:rPr>
            </w:pPr>
            <w:r w:rsidRPr="007B405D">
              <w:rPr>
                <w:color w:val="000000"/>
                <w:lang w:eastAsia="zh-CN"/>
              </w:rPr>
              <w:t>0</w:t>
            </w:r>
          </w:p>
        </w:tc>
        <w:tc>
          <w:tcPr>
            <w:tcW w:w="398" w:type="pct"/>
            <w:tcBorders>
              <w:top w:val="nil"/>
              <w:left w:val="nil"/>
              <w:bottom w:val="single" w:sz="4" w:space="0" w:color="auto"/>
              <w:right w:val="single" w:sz="4" w:space="0" w:color="auto"/>
            </w:tcBorders>
            <w:shd w:val="clear" w:color="auto" w:fill="auto"/>
            <w:noWrap/>
            <w:vAlign w:val="center"/>
            <w:hideMark/>
          </w:tcPr>
          <w:p w14:paraId="7D481076" w14:textId="77777777" w:rsidR="002325C7" w:rsidRPr="007B405D" w:rsidRDefault="002325C7" w:rsidP="006941E8">
            <w:pPr>
              <w:jc w:val="center"/>
              <w:rPr>
                <w:color w:val="000000"/>
                <w:lang w:eastAsia="zh-CN"/>
              </w:rPr>
            </w:pPr>
            <w:r w:rsidRPr="007B405D">
              <w:rPr>
                <w:color w:val="000000"/>
                <w:lang w:eastAsia="zh-CN"/>
              </w:rPr>
              <w:t>7</w:t>
            </w:r>
          </w:p>
        </w:tc>
        <w:tc>
          <w:tcPr>
            <w:tcW w:w="418" w:type="pct"/>
            <w:tcBorders>
              <w:top w:val="nil"/>
              <w:left w:val="nil"/>
              <w:bottom w:val="single" w:sz="4" w:space="0" w:color="auto"/>
              <w:right w:val="single" w:sz="4" w:space="0" w:color="auto"/>
            </w:tcBorders>
            <w:shd w:val="clear" w:color="auto" w:fill="auto"/>
            <w:noWrap/>
            <w:vAlign w:val="center"/>
            <w:hideMark/>
          </w:tcPr>
          <w:p w14:paraId="50AC763A" w14:textId="77777777" w:rsidR="002325C7" w:rsidRPr="007B405D" w:rsidRDefault="002325C7" w:rsidP="006941E8">
            <w:pPr>
              <w:jc w:val="center"/>
              <w:rPr>
                <w:color w:val="000000"/>
                <w:lang w:eastAsia="zh-CN"/>
              </w:rPr>
            </w:pPr>
            <w:r w:rsidRPr="007B405D">
              <w:rPr>
                <w:color w:val="000000"/>
                <w:lang w:eastAsia="zh-CN"/>
              </w:rPr>
              <w:t>329</w:t>
            </w:r>
          </w:p>
        </w:tc>
      </w:tr>
      <w:tr w:rsidR="002325C7" w:rsidRPr="007B405D" w14:paraId="4C60ECDE" w14:textId="77777777" w:rsidTr="006941E8">
        <w:trPr>
          <w:trHeight w:val="324"/>
          <w:jc w:val="center"/>
        </w:trPr>
        <w:tc>
          <w:tcPr>
            <w:tcW w:w="429" w:type="pct"/>
            <w:tcBorders>
              <w:top w:val="nil"/>
              <w:left w:val="single" w:sz="4" w:space="0" w:color="000000"/>
              <w:bottom w:val="single" w:sz="4" w:space="0" w:color="000000"/>
              <w:right w:val="single" w:sz="4" w:space="0" w:color="000000"/>
            </w:tcBorders>
            <w:shd w:val="clear" w:color="auto" w:fill="auto"/>
            <w:noWrap/>
            <w:vAlign w:val="bottom"/>
            <w:hideMark/>
          </w:tcPr>
          <w:p w14:paraId="5B10ACC7" w14:textId="77777777" w:rsidR="002325C7" w:rsidRPr="007B405D" w:rsidRDefault="002325C7" w:rsidP="006941E8">
            <w:pPr>
              <w:jc w:val="center"/>
              <w:rPr>
                <w:bCs/>
                <w:iCs/>
                <w:color w:val="000000"/>
                <w:lang w:eastAsia="zh-CN"/>
              </w:rPr>
            </w:pPr>
            <w:r w:rsidRPr="007B405D">
              <w:rPr>
                <w:bCs/>
                <w:iCs/>
                <w:color w:val="000000"/>
                <w:lang w:eastAsia="zh-CN"/>
              </w:rPr>
              <w:t>Tổng</w:t>
            </w:r>
          </w:p>
        </w:tc>
        <w:tc>
          <w:tcPr>
            <w:tcW w:w="447" w:type="pct"/>
            <w:tcBorders>
              <w:top w:val="nil"/>
              <w:left w:val="single" w:sz="4" w:space="0" w:color="auto"/>
              <w:bottom w:val="single" w:sz="4" w:space="0" w:color="auto"/>
              <w:right w:val="single" w:sz="4" w:space="0" w:color="auto"/>
            </w:tcBorders>
            <w:shd w:val="clear" w:color="auto" w:fill="auto"/>
            <w:noWrap/>
            <w:vAlign w:val="center"/>
            <w:hideMark/>
          </w:tcPr>
          <w:p w14:paraId="29C138EC" w14:textId="77777777" w:rsidR="002325C7" w:rsidRPr="007B405D" w:rsidRDefault="002325C7" w:rsidP="006941E8">
            <w:pPr>
              <w:jc w:val="center"/>
              <w:rPr>
                <w:bCs/>
                <w:iCs/>
                <w:color w:val="000000"/>
                <w:lang w:eastAsia="zh-CN"/>
              </w:rPr>
            </w:pPr>
            <w:r w:rsidRPr="007B405D">
              <w:rPr>
                <w:bCs/>
                <w:iCs/>
                <w:color w:val="000000"/>
                <w:lang w:eastAsia="zh-CN"/>
              </w:rPr>
              <w:t>717</w:t>
            </w:r>
          </w:p>
        </w:tc>
        <w:tc>
          <w:tcPr>
            <w:tcW w:w="466" w:type="pct"/>
            <w:tcBorders>
              <w:top w:val="nil"/>
              <w:left w:val="nil"/>
              <w:bottom w:val="single" w:sz="4" w:space="0" w:color="auto"/>
              <w:right w:val="single" w:sz="4" w:space="0" w:color="auto"/>
            </w:tcBorders>
            <w:shd w:val="clear" w:color="auto" w:fill="auto"/>
            <w:noWrap/>
            <w:vAlign w:val="center"/>
            <w:hideMark/>
          </w:tcPr>
          <w:p w14:paraId="74B16C0E" w14:textId="77777777" w:rsidR="002325C7" w:rsidRPr="007B405D" w:rsidRDefault="002325C7" w:rsidP="006941E8">
            <w:pPr>
              <w:jc w:val="center"/>
              <w:rPr>
                <w:bCs/>
                <w:iCs/>
                <w:color w:val="000000"/>
                <w:lang w:eastAsia="zh-CN"/>
              </w:rPr>
            </w:pPr>
            <w:r w:rsidRPr="007B405D">
              <w:rPr>
                <w:bCs/>
                <w:iCs/>
                <w:color w:val="000000"/>
                <w:lang w:eastAsia="zh-CN"/>
              </w:rPr>
              <w:t>93</w:t>
            </w:r>
          </w:p>
        </w:tc>
        <w:tc>
          <w:tcPr>
            <w:tcW w:w="332" w:type="pct"/>
            <w:tcBorders>
              <w:top w:val="nil"/>
              <w:left w:val="nil"/>
              <w:bottom w:val="single" w:sz="4" w:space="0" w:color="auto"/>
              <w:right w:val="single" w:sz="4" w:space="0" w:color="auto"/>
            </w:tcBorders>
            <w:shd w:val="clear" w:color="auto" w:fill="auto"/>
            <w:noWrap/>
            <w:vAlign w:val="center"/>
            <w:hideMark/>
          </w:tcPr>
          <w:p w14:paraId="558B4960" w14:textId="77777777" w:rsidR="002325C7" w:rsidRPr="007B405D" w:rsidRDefault="002325C7" w:rsidP="006941E8">
            <w:pPr>
              <w:jc w:val="center"/>
              <w:rPr>
                <w:bCs/>
                <w:iCs/>
                <w:color w:val="000000"/>
                <w:lang w:eastAsia="zh-CN"/>
              </w:rPr>
            </w:pPr>
            <w:r w:rsidRPr="007B405D">
              <w:rPr>
                <w:bCs/>
                <w:iCs/>
                <w:color w:val="000000"/>
                <w:lang w:eastAsia="zh-CN"/>
              </w:rPr>
              <w:t>18</w:t>
            </w:r>
          </w:p>
        </w:tc>
        <w:tc>
          <w:tcPr>
            <w:tcW w:w="300" w:type="pct"/>
            <w:tcBorders>
              <w:top w:val="nil"/>
              <w:left w:val="nil"/>
              <w:bottom w:val="single" w:sz="4" w:space="0" w:color="auto"/>
              <w:right w:val="single" w:sz="4" w:space="0" w:color="auto"/>
            </w:tcBorders>
            <w:shd w:val="clear" w:color="auto" w:fill="auto"/>
            <w:noWrap/>
            <w:vAlign w:val="center"/>
            <w:hideMark/>
          </w:tcPr>
          <w:p w14:paraId="5B8ABE1E" w14:textId="77777777" w:rsidR="002325C7" w:rsidRPr="007B405D" w:rsidRDefault="002325C7" w:rsidP="006941E8">
            <w:pPr>
              <w:jc w:val="center"/>
              <w:rPr>
                <w:bCs/>
                <w:iCs/>
                <w:color w:val="000000"/>
                <w:lang w:eastAsia="zh-CN"/>
              </w:rPr>
            </w:pPr>
            <w:r w:rsidRPr="007B405D">
              <w:rPr>
                <w:bCs/>
                <w:iCs/>
                <w:color w:val="000000"/>
                <w:lang w:eastAsia="zh-CN"/>
              </w:rPr>
              <w:t>7</w:t>
            </w:r>
          </w:p>
        </w:tc>
        <w:tc>
          <w:tcPr>
            <w:tcW w:w="466" w:type="pct"/>
            <w:tcBorders>
              <w:top w:val="nil"/>
              <w:left w:val="nil"/>
              <w:bottom w:val="single" w:sz="4" w:space="0" w:color="auto"/>
              <w:right w:val="single" w:sz="4" w:space="0" w:color="auto"/>
            </w:tcBorders>
            <w:shd w:val="clear" w:color="auto" w:fill="auto"/>
            <w:noWrap/>
            <w:vAlign w:val="center"/>
            <w:hideMark/>
          </w:tcPr>
          <w:p w14:paraId="74AC615B" w14:textId="77777777" w:rsidR="002325C7" w:rsidRPr="007B405D" w:rsidRDefault="002325C7" w:rsidP="006941E8">
            <w:pPr>
              <w:jc w:val="center"/>
              <w:rPr>
                <w:bCs/>
                <w:iCs/>
                <w:color w:val="000000"/>
                <w:lang w:eastAsia="zh-CN"/>
              </w:rPr>
            </w:pPr>
            <w:r w:rsidRPr="007B405D">
              <w:rPr>
                <w:bCs/>
                <w:iCs/>
                <w:color w:val="000000"/>
                <w:lang w:eastAsia="zh-CN"/>
              </w:rPr>
              <w:t>259</w:t>
            </w:r>
          </w:p>
        </w:tc>
        <w:tc>
          <w:tcPr>
            <w:tcW w:w="466" w:type="pct"/>
            <w:tcBorders>
              <w:top w:val="nil"/>
              <w:left w:val="nil"/>
              <w:bottom w:val="single" w:sz="4" w:space="0" w:color="auto"/>
              <w:right w:val="single" w:sz="4" w:space="0" w:color="auto"/>
            </w:tcBorders>
            <w:shd w:val="clear" w:color="auto" w:fill="auto"/>
            <w:noWrap/>
            <w:vAlign w:val="center"/>
            <w:hideMark/>
          </w:tcPr>
          <w:p w14:paraId="141FE5CF" w14:textId="77777777" w:rsidR="002325C7" w:rsidRPr="007B405D" w:rsidRDefault="002325C7" w:rsidP="006941E8">
            <w:pPr>
              <w:jc w:val="center"/>
              <w:rPr>
                <w:bCs/>
                <w:iCs/>
                <w:color w:val="000000"/>
                <w:lang w:eastAsia="zh-CN"/>
              </w:rPr>
            </w:pPr>
            <w:r w:rsidRPr="007B405D">
              <w:rPr>
                <w:bCs/>
                <w:iCs/>
                <w:color w:val="000000"/>
                <w:lang w:eastAsia="zh-CN"/>
              </w:rPr>
              <w:t>54</w:t>
            </w:r>
          </w:p>
        </w:tc>
        <w:tc>
          <w:tcPr>
            <w:tcW w:w="466" w:type="pct"/>
            <w:tcBorders>
              <w:top w:val="nil"/>
              <w:left w:val="nil"/>
              <w:bottom w:val="single" w:sz="4" w:space="0" w:color="auto"/>
              <w:right w:val="single" w:sz="4" w:space="0" w:color="auto"/>
            </w:tcBorders>
            <w:shd w:val="clear" w:color="auto" w:fill="auto"/>
            <w:noWrap/>
            <w:vAlign w:val="center"/>
            <w:hideMark/>
          </w:tcPr>
          <w:p w14:paraId="26BFF285" w14:textId="77777777" w:rsidR="002325C7" w:rsidRPr="007B405D" w:rsidRDefault="002325C7" w:rsidP="006941E8">
            <w:pPr>
              <w:jc w:val="center"/>
              <w:rPr>
                <w:bCs/>
                <w:iCs/>
                <w:color w:val="000000"/>
                <w:lang w:eastAsia="zh-CN"/>
              </w:rPr>
            </w:pPr>
            <w:r w:rsidRPr="007B405D">
              <w:rPr>
                <w:bCs/>
                <w:iCs/>
                <w:color w:val="000000"/>
                <w:lang w:eastAsia="zh-CN"/>
              </w:rPr>
              <w:t>48</w:t>
            </w:r>
          </w:p>
        </w:tc>
        <w:tc>
          <w:tcPr>
            <w:tcW w:w="393" w:type="pct"/>
            <w:tcBorders>
              <w:top w:val="nil"/>
              <w:left w:val="nil"/>
              <w:bottom w:val="single" w:sz="4" w:space="0" w:color="auto"/>
              <w:right w:val="single" w:sz="4" w:space="0" w:color="auto"/>
            </w:tcBorders>
            <w:shd w:val="clear" w:color="auto" w:fill="auto"/>
            <w:noWrap/>
            <w:vAlign w:val="center"/>
            <w:hideMark/>
          </w:tcPr>
          <w:p w14:paraId="2CC79443" w14:textId="77777777" w:rsidR="002325C7" w:rsidRPr="007B405D" w:rsidRDefault="002325C7" w:rsidP="006941E8">
            <w:pPr>
              <w:jc w:val="center"/>
              <w:rPr>
                <w:bCs/>
                <w:iCs/>
                <w:color w:val="000000"/>
                <w:lang w:eastAsia="zh-CN"/>
              </w:rPr>
            </w:pPr>
            <w:r w:rsidRPr="007B405D">
              <w:rPr>
                <w:bCs/>
                <w:iCs/>
                <w:color w:val="000000"/>
                <w:lang w:eastAsia="zh-CN"/>
              </w:rPr>
              <w:t>20</w:t>
            </w:r>
          </w:p>
        </w:tc>
        <w:tc>
          <w:tcPr>
            <w:tcW w:w="418" w:type="pct"/>
            <w:tcBorders>
              <w:top w:val="nil"/>
              <w:left w:val="nil"/>
              <w:bottom w:val="single" w:sz="4" w:space="0" w:color="auto"/>
              <w:right w:val="single" w:sz="4" w:space="0" w:color="auto"/>
            </w:tcBorders>
            <w:shd w:val="clear" w:color="auto" w:fill="auto"/>
            <w:noWrap/>
            <w:vAlign w:val="center"/>
            <w:hideMark/>
          </w:tcPr>
          <w:p w14:paraId="7F8F8DCD" w14:textId="77777777" w:rsidR="002325C7" w:rsidRPr="007B405D" w:rsidRDefault="002325C7" w:rsidP="006941E8">
            <w:pPr>
              <w:jc w:val="center"/>
              <w:rPr>
                <w:bCs/>
                <w:iCs/>
                <w:color w:val="000000"/>
                <w:lang w:eastAsia="zh-CN"/>
              </w:rPr>
            </w:pPr>
            <w:r w:rsidRPr="007B405D">
              <w:rPr>
                <w:bCs/>
                <w:iCs/>
                <w:color w:val="000000"/>
                <w:lang w:eastAsia="zh-CN"/>
              </w:rPr>
              <w:t>354</w:t>
            </w:r>
          </w:p>
        </w:tc>
        <w:tc>
          <w:tcPr>
            <w:tcW w:w="398" w:type="pct"/>
            <w:tcBorders>
              <w:top w:val="nil"/>
              <w:left w:val="nil"/>
              <w:bottom w:val="single" w:sz="4" w:space="0" w:color="auto"/>
              <w:right w:val="single" w:sz="4" w:space="0" w:color="auto"/>
            </w:tcBorders>
            <w:shd w:val="clear" w:color="auto" w:fill="auto"/>
            <w:noWrap/>
            <w:vAlign w:val="center"/>
            <w:hideMark/>
          </w:tcPr>
          <w:p w14:paraId="413FEBE8" w14:textId="77777777" w:rsidR="002325C7" w:rsidRPr="007B405D" w:rsidRDefault="002325C7" w:rsidP="006941E8">
            <w:pPr>
              <w:jc w:val="center"/>
              <w:rPr>
                <w:bCs/>
                <w:iCs/>
                <w:color w:val="000000"/>
                <w:lang w:eastAsia="zh-CN"/>
              </w:rPr>
            </w:pPr>
            <w:r w:rsidRPr="007B405D">
              <w:rPr>
                <w:bCs/>
                <w:iCs/>
                <w:color w:val="000000"/>
                <w:lang w:eastAsia="zh-CN"/>
              </w:rPr>
              <w:t>27</w:t>
            </w:r>
          </w:p>
        </w:tc>
        <w:tc>
          <w:tcPr>
            <w:tcW w:w="418" w:type="pct"/>
            <w:tcBorders>
              <w:top w:val="nil"/>
              <w:left w:val="nil"/>
              <w:bottom w:val="single" w:sz="4" w:space="0" w:color="auto"/>
              <w:right w:val="single" w:sz="4" w:space="0" w:color="auto"/>
            </w:tcBorders>
            <w:shd w:val="clear" w:color="auto" w:fill="auto"/>
            <w:noWrap/>
            <w:vAlign w:val="center"/>
            <w:hideMark/>
          </w:tcPr>
          <w:p w14:paraId="4C49F5A1" w14:textId="77777777" w:rsidR="002325C7" w:rsidRPr="007B405D" w:rsidRDefault="002325C7" w:rsidP="006941E8">
            <w:pPr>
              <w:jc w:val="center"/>
              <w:rPr>
                <w:bCs/>
                <w:iCs/>
                <w:color w:val="000000"/>
                <w:lang w:eastAsia="zh-CN"/>
              </w:rPr>
            </w:pPr>
            <w:r w:rsidRPr="007B405D">
              <w:rPr>
                <w:bCs/>
                <w:iCs/>
                <w:color w:val="000000"/>
                <w:lang w:eastAsia="zh-CN"/>
              </w:rPr>
              <w:t>1858</w:t>
            </w:r>
          </w:p>
        </w:tc>
      </w:tr>
    </w:tbl>
    <w:p w14:paraId="3D6BD026" w14:textId="77777777" w:rsidR="002325C7" w:rsidRPr="006B03AC" w:rsidRDefault="002325C7" w:rsidP="002325C7">
      <w:pPr>
        <w:jc w:val="center"/>
        <w:rPr>
          <w:iCs/>
          <w:szCs w:val="26"/>
          <w:lang w:val="de-DE"/>
        </w:rPr>
      </w:pPr>
    </w:p>
    <w:p w14:paraId="6C1D10ED" w14:textId="77777777" w:rsidR="002325C7" w:rsidRPr="006B03AC" w:rsidRDefault="002325C7" w:rsidP="002325C7">
      <w:pPr>
        <w:jc w:val="center"/>
        <w:rPr>
          <w:bCs/>
          <w:iCs/>
          <w:szCs w:val="26"/>
          <w:lang w:val="de-DE"/>
        </w:rPr>
      </w:pPr>
      <w:r w:rsidRPr="006B03AC">
        <w:rPr>
          <w:bCs/>
          <w:iCs/>
          <w:szCs w:val="26"/>
          <w:lang w:val="de-DE"/>
        </w:rPr>
        <w:t>Bảng 3 Đào tạo lưu học sinh giai đoạn 2022-8/2024</w:t>
      </w:r>
    </w:p>
    <w:tbl>
      <w:tblPr>
        <w:tblW w:w="5000" w:type="pct"/>
        <w:tblLook w:val="04A0" w:firstRow="1" w:lastRow="0" w:firstColumn="1" w:lastColumn="0" w:noHBand="0" w:noVBand="1"/>
      </w:tblPr>
      <w:tblGrid>
        <w:gridCol w:w="1916"/>
        <w:gridCol w:w="683"/>
        <w:gridCol w:w="685"/>
        <w:gridCol w:w="611"/>
        <w:gridCol w:w="720"/>
        <w:gridCol w:w="683"/>
        <w:gridCol w:w="603"/>
        <w:gridCol w:w="566"/>
        <w:gridCol w:w="683"/>
        <w:gridCol w:w="629"/>
        <w:gridCol w:w="563"/>
        <w:gridCol w:w="720"/>
      </w:tblGrid>
      <w:tr w:rsidR="002325C7" w:rsidRPr="007B405D" w14:paraId="15F46916" w14:textId="77777777" w:rsidTr="006941E8">
        <w:trPr>
          <w:trHeight w:val="341"/>
        </w:trPr>
        <w:tc>
          <w:tcPr>
            <w:tcW w:w="107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21F4D1C" w14:textId="77777777" w:rsidR="002325C7" w:rsidRPr="007B405D" w:rsidRDefault="002325C7" w:rsidP="006941E8">
            <w:pPr>
              <w:jc w:val="center"/>
              <w:rPr>
                <w:bCs/>
                <w:color w:val="000000"/>
                <w:lang w:eastAsia="zh-CN"/>
              </w:rPr>
            </w:pPr>
            <w:r w:rsidRPr="007B405D">
              <w:rPr>
                <w:bCs/>
                <w:color w:val="000000"/>
                <w:lang w:eastAsia="zh-CN"/>
              </w:rPr>
              <w:t xml:space="preserve">Năm </w:t>
            </w:r>
          </w:p>
        </w:tc>
        <w:tc>
          <w:tcPr>
            <w:tcW w:w="1477" w:type="pct"/>
            <w:gridSpan w:val="4"/>
            <w:tcBorders>
              <w:top w:val="single" w:sz="4" w:space="0" w:color="auto"/>
              <w:left w:val="nil"/>
              <w:bottom w:val="single" w:sz="4" w:space="0" w:color="auto"/>
              <w:right w:val="single" w:sz="4" w:space="0" w:color="000000"/>
            </w:tcBorders>
            <w:shd w:val="clear" w:color="auto" w:fill="auto"/>
            <w:vAlign w:val="center"/>
            <w:hideMark/>
          </w:tcPr>
          <w:p w14:paraId="75DDEC22" w14:textId="77777777" w:rsidR="002325C7" w:rsidRPr="007B405D" w:rsidRDefault="002325C7" w:rsidP="006941E8">
            <w:pPr>
              <w:jc w:val="center"/>
              <w:rPr>
                <w:bCs/>
                <w:color w:val="000000"/>
                <w:lang w:eastAsia="zh-CN"/>
              </w:rPr>
            </w:pPr>
            <w:r w:rsidRPr="007B405D">
              <w:rPr>
                <w:bCs/>
                <w:color w:val="000000"/>
                <w:lang w:eastAsia="zh-CN"/>
              </w:rPr>
              <w:t>LHS tiếp nhận mới</w:t>
            </w:r>
          </w:p>
        </w:tc>
        <w:tc>
          <w:tcPr>
            <w:tcW w:w="1030" w:type="pct"/>
            <w:gridSpan w:val="3"/>
            <w:tcBorders>
              <w:top w:val="single" w:sz="4" w:space="0" w:color="auto"/>
              <w:left w:val="nil"/>
              <w:bottom w:val="single" w:sz="4" w:space="0" w:color="auto"/>
              <w:right w:val="single" w:sz="4" w:space="0" w:color="auto"/>
            </w:tcBorders>
            <w:shd w:val="clear" w:color="auto" w:fill="auto"/>
            <w:vAlign w:val="center"/>
            <w:hideMark/>
          </w:tcPr>
          <w:p w14:paraId="5DB8C0B2" w14:textId="77777777" w:rsidR="002325C7" w:rsidRPr="007B405D" w:rsidRDefault="002325C7" w:rsidP="006941E8">
            <w:pPr>
              <w:jc w:val="center"/>
              <w:rPr>
                <w:bCs/>
                <w:color w:val="000000"/>
                <w:lang w:eastAsia="zh-CN"/>
              </w:rPr>
            </w:pPr>
            <w:r w:rsidRPr="007B405D">
              <w:rPr>
                <w:bCs/>
                <w:color w:val="000000"/>
                <w:lang w:eastAsia="zh-CN"/>
              </w:rPr>
              <w:t>LHS đang đào tạo</w:t>
            </w:r>
          </w:p>
        </w:tc>
        <w:tc>
          <w:tcPr>
            <w:tcW w:w="1422" w:type="pct"/>
            <w:gridSpan w:val="4"/>
            <w:tcBorders>
              <w:top w:val="single" w:sz="4" w:space="0" w:color="auto"/>
              <w:left w:val="nil"/>
              <w:bottom w:val="single" w:sz="4" w:space="0" w:color="auto"/>
              <w:right w:val="single" w:sz="4" w:space="0" w:color="000000"/>
            </w:tcBorders>
            <w:shd w:val="clear" w:color="auto" w:fill="auto"/>
            <w:vAlign w:val="center"/>
            <w:hideMark/>
          </w:tcPr>
          <w:p w14:paraId="13C55FAF" w14:textId="77777777" w:rsidR="002325C7" w:rsidRPr="007B405D" w:rsidRDefault="002325C7" w:rsidP="006941E8">
            <w:pPr>
              <w:jc w:val="center"/>
              <w:rPr>
                <w:bCs/>
                <w:color w:val="000000"/>
                <w:lang w:eastAsia="zh-CN"/>
              </w:rPr>
            </w:pPr>
            <w:r w:rsidRPr="007B405D">
              <w:rPr>
                <w:bCs/>
                <w:color w:val="000000"/>
                <w:lang w:eastAsia="zh-CN"/>
              </w:rPr>
              <w:t>LHS tốt nghiệp</w:t>
            </w:r>
          </w:p>
        </w:tc>
      </w:tr>
      <w:tr w:rsidR="002325C7" w:rsidRPr="007B405D" w14:paraId="57F10934" w14:textId="77777777" w:rsidTr="006941E8">
        <w:trPr>
          <w:trHeight w:val="629"/>
        </w:trPr>
        <w:tc>
          <w:tcPr>
            <w:tcW w:w="1071" w:type="pct"/>
            <w:vMerge/>
            <w:tcBorders>
              <w:top w:val="single" w:sz="4" w:space="0" w:color="000000"/>
              <w:left w:val="single" w:sz="4" w:space="0" w:color="000000"/>
              <w:bottom w:val="single" w:sz="4" w:space="0" w:color="000000"/>
              <w:right w:val="single" w:sz="4" w:space="0" w:color="000000"/>
            </w:tcBorders>
            <w:vAlign w:val="center"/>
            <w:hideMark/>
          </w:tcPr>
          <w:p w14:paraId="5C70206C" w14:textId="77777777" w:rsidR="002325C7" w:rsidRPr="007B405D" w:rsidRDefault="002325C7" w:rsidP="006941E8">
            <w:pPr>
              <w:rPr>
                <w:bCs/>
                <w:color w:val="000000"/>
                <w:lang w:eastAsia="zh-CN"/>
              </w:rPr>
            </w:pPr>
          </w:p>
        </w:tc>
        <w:tc>
          <w:tcPr>
            <w:tcW w:w="352" w:type="pct"/>
            <w:tcBorders>
              <w:top w:val="nil"/>
              <w:left w:val="nil"/>
              <w:bottom w:val="single" w:sz="4" w:space="0" w:color="auto"/>
              <w:right w:val="single" w:sz="4" w:space="0" w:color="auto"/>
            </w:tcBorders>
            <w:shd w:val="clear" w:color="auto" w:fill="auto"/>
            <w:vAlign w:val="center"/>
            <w:hideMark/>
          </w:tcPr>
          <w:p w14:paraId="5498A840" w14:textId="77777777" w:rsidR="002325C7" w:rsidRPr="007B405D" w:rsidRDefault="002325C7" w:rsidP="006941E8">
            <w:pPr>
              <w:jc w:val="center"/>
              <w:rPr>
                <w:bCs/>
                <w:iCs/>
                <w:color w:val="000000"/>
                <w:lang w:eastAsia="zh-CN"/>
              </w:rPr>
            </w:pPr>
            <w:r w:rsidRPr="007B405D">
              <w:rPr>
                <w:bCs/>
                <w:iCs/>
                <w:color w:val="000000"/>
                <w:lang w:eastAsia="zh-CN"/>
              </w:rPr>
              <w:t>NCS</w:t>
            </w:r>
          </w:p>
        </w:tc>
        <w:tc>
          <w:tcPr>
            <w:tcW w:w="391" w:type="pct"/>
            <w:tcBorders>
              <w:top w:val="nil"/>
              <w:left w:val="nil"/>
              <w:bottom w:val="single" w:sz="4" w:space="0" w:color="auto"/>
              <w:right w:val="single" w:sz="4" w:space="0" w:color="auto"/>
            </w:tcBorders>
            <w:shd w:val="clear" w:color="auto" w:fill="auto"/>
            <w:vAlign w:val="center"/>
            <w:hideMark/>
          </w:tcPr>
          <w:p w14:paraId="7F7B70FE" w14:textId="77777777" w:rsidR="002325C7" w:rsidRPr="007B405D" w:rsidRDefault="002325C7" w:rsidP="006941E8">
            <w:pPr>
              <w:jc w:val="center"/>
              <w:rPr>
                <w:bCs/>
                <w:iCs/>
                <w:color w:val="000000"/>
                <w:lang w:eastAsia="zh-CN"/>
              </w:rPr>
            </w:pPr>
            <w:r w:rsidRPr="007B405D">
              <w:rPr>
                <w:bCs/>
                <w:iCs/>
                <w:color w:val="000000"/>
                <w:lang w:eastAsia="zh-CN"/>
              </w:rPr>
              <w:t xml:space="preserve">Cao </w:t>
            </w:r>
            <w:r w:rsidRPr="007B405D">
              <w:rPr>
                <w:bCs/>
                <w:iCs/>
                <w:color w:val="000000"/>
                <w:lang w:eastAsia="zh-CN"/>
              </w:rPr>
              <w:br/>
              <w:t>học</w:t>
            </w:r>
          </w:p>
        </w:tc>
        <w:tc>
          <w:tcPr>
            <w:tcW w:w="350" w:type="pct"/>
            <w:tcBorders>
              <w:top w:val="nil"/>
              <w:left w:val="nil"/>
              <w:bottom w:val="single" w:sz="4" w:space="0" w:color="auto"/>
              <w:right w:val="single" w:sz="4" w:space="0" w:color="auto"/>
            </w:tcBorders>
            <w:shd w:val="clear" w:color="auto" w:fill="auto"/>
            <w:vAlign w:val="center"/>
            <w:hideMark/>
          </w:tcPr>
          <w:p w14:paraId="3DAAC6FF" w14:textId="77777777" w:rsidR="002325C7" w:rsidRPr="007B405D" w:rsidRDefault="002325C7" w:rsidP="006941E8">
            <w:pPr>
              <w:jc w:val="center"/>
              <w:rPr>
                <w:bCs/>
                <w:iCs/>
                <w:color w:val="000000"/>
                <w:lang w:eastAsia="zh-CN"/>
              </w:rPr>
            </w:pPr>
            <w:r w:rsidRPr="007B405D">
              <w:rPr>
                <w:bCs/>
                <w:iCs/>
                <w:color w:val="000000"/>
                <w:lang w:eastAsia="zh-CN"/>
              </w:rPr>
              <w:t xml:space="preserve">Đại </w:t>
            </w:r>
            <w:r w:rsidRPr="007B405D">
              <w:rPr>
                <w:bCs/>
                <w:iCs/>
                <w:color w:val="000000"/>
                <w:lang w:eastAsia="zh-CN"/>
              </w:rPr>
              <w:br/>
              <w:t>học</w:t>
            </w:r>
          </w:p>
        </w:tc>
        <w:tc>
          <w:tcPr>
            <w:tcW w:w="385" w:type="pct"/>
            <w:tcBorders>
              <w:top w:val="nil"/>
              <w:left w:val="nil"/>
              <w:bottom w:val="single" w:sz="4" w:space="0" w:color="auto"/>
              <w:right w:val="single" w:sz="4" w:space="0" w:color="auto"/>
            </w:tcBorders>
            <w:shd w:val="clear" w:color="auto" w:fill="auto"/>
            <w:vAlign w:val="center"/>
            <w:hideMark/>
          </w:tcPr>
          <w:p w14:paraId="5BA0EEE4" w14:textId="77777777" w:rsidR="002325C7" w:rsidRPr="007B405D" w:rsidRDefault="002325C7" w:rsidP="006941E8">
            <w:pPr>
              <w:jc w:val="center"/>
              <w:rPr>
                <w:bCs/>
                <w:iCs/>
                <w:color w:val="000000"/>
                <w:lang w:eastAsia="zh-CN"/>
              </w:rPr>
            </w:pPr>
            <w:r w:rsidRPr="007B405D">
              <w:rPr>
                <w:bCs/>
                <w:iCs/>
                <w:color w:val="000000"/>
                <w:lang w:eastAsia="zh-CN"/>
              </w:rPr>
              <w:t>Thực tập</w:t>
            </w:r>
          </w:p>
        </w:tc>
        <w:tc>
          <w:tcPr>
            <w:tcW w:w="360" w:type="pct"/>
            <w:tcBorders>
              <w:top w:val="nil"/>
              <w:left w:val="nil"/>
              <w:bottom w:val="single" w:sz="4" w:space="0" w:color="auto"/>
              <w:right w:val="single" w:sz="4" w:space="0" w:color="auto"/>
            </w:tcBorders>
            <w:shd w:val="clear" w:color="auto" w:fill="auto"/>
            <w:vAlign w:val="center"/>
            <w:hideMark/>
          </w:tcPr>
          <w:p w14:paraId="47F97AE4" w14:textId="77777777" w:rsidR="002325C7" w:rsidRPr="007B405D" w:rsidRDefault="002325C7" w:rsidP="006941E8">
            <w:pPr>
              <w:jc w:val="center"/>
              <w:rPr>
                <w:bCs/>
                <w:iCs/>
                <w:color w:val="000000"/>
                <w:lang w:eastAsia="zh-CN"/>
              </w:rPr>
            </w:pPr>
            <w:r w:rsidRPr="007B405D">
              <w:rPr>
                <w:bCs/>
                <w:iCs/>
                <w:color w:val="000000"/>
                <w:lang w:eastAsia="zh-CN"/>
              </w:rPr>
              <w:t>NCS</w:t>
            </w:r>
          </w:p>
        </w:tc>
        <w:tc>
          <w:tcPr>
            <w:tcW w:w="340" w:type="pct"/>
            <w:tcBorders>
              <w:top w:val="nil"/>
              <w:left w:val="nil"/>
              <w:bottom w:val="single" w:sz="4" w:space="0" w:color="auto"/>
              <w:right w:val="single" w:sz="4" w:space="0" w:color="auto"/>
            </w:tcBorders>
            <w:shd w:val="clear" w:color="auto" w:fill="auto"/>
            <w:vAlign w:val="center"/>
            <w:hideMark/>
          </w:tcPr>
          <w:p w14:paraId="48EC6368" w14:textId="77777777" w:rsidR="002325C7" w:rsidRPr="007B405D" w:rsidRDefault="002325C7" w:rsidP="006941E8">
            <w:pPr>
              <w:jc w:val="center"/>
              <w:rPr>
                <w:bCs/>
                <w:iCs/>
                <w:color w:val="000000"/>
                <w:lang w:eastAsia="zh-CN"/>
              </w:rPr>
            </w:pPr>
            <w:r w:rsidRPr="007B405D">
              <w:rPr>
                <w:bCs/>
                <w:iCs/>
                <w:color w:val="000000"/>
                <w:lang w:eastAsia="zh-CN"/>
              </w:rPr>
              <w:t xml:space="preserve">Cao </w:t>
            </w:r>
            <w:r w:rsidRPr="007B405D">
              <w:rPr>
                <w:bCs/>
                <w:iCs/>
                <w:color w:val="000000"/>
                <w:lang w:eastAsia="zh-CN"/>
              </w:rPr>
              <w:br/>
              <w:t>học</w:t>
            </w:r>
          </w:p>
        </w:tc>
        <w:tc>
          <w:tcPr>
            <w:tcW w:w="329" w:type="pct"/>
            <w:tcBorders>
              <w:top w:val="nil"/>
              <w:left w:val="nil"/>
              <w:bottom w:val="single" w:sz="4" w:space="0" w:color="auto"/>
              <w:right w:val="single" w:sz="4" w:space="0" w:color="auto"/>
            </w:tcBorders>
            <w:shd w:val="clear" w:color="auto" w:fill="auto"/>
            <w:vAlign w:val="center"/>
            <w:hideMark/>
          </w:tcPr>
          <w:p w14:paraId="2FAE59CF" w14:textId="77777777" w:rsidR="002325C7" w:rsidRPr="007B405D" w:rsidRDefault="002325C7" w:rsidP="006941E8">
            <w:pPr>
              <w:jc w:val="center"/>
              <w:rPr>
                <w:bCs/>
                <w:iCs/>
                <w:color w:val="000000"/>
                <w:lang w:eastAsia="zh-CN"/>
              </w:rPr>
            </w:pPr>
            <w:r w:rsidRPr="007B405D">
              <w:rPr>
                <w:bCs/>
                <w:iCs/>
                <w:color w:val="000000"/>
                <w:lang w:eastAsia="zh-CN"/>
              </w:rPr>
              <w:t xml:space="preserve">Đại </w:t>
            </w:r>
            <w:r w:rsidRPr="007B405D">
              <w:rPr>
                <w:bCs/>
                <w:iCs/>
                <w:color w:val="000000"/>
                <w:lang w:eastAsia="zh-CN"/>
              </w:rPr>
              <w:br/>
              <w:t>học</w:t>
            </w:r>
          </w:p>
        </w:tc>
        <w:tc>
          <w:tcPr>
            <w:tcW w:w="352" w:type="pct"/>
            <w:tcBorders>
              <w:top w:val="nil"/>
              <w:left w:val="nil"/>
              <w:bottom w:val="single" w:sz="4" w:space="0" w:color="auto"/>
              <w:right w:val="single" w:sz="4" w:space="0" w:color="auto"/>
            </w:tcBorders>
            <w:shd w:val="clear" w:color="auto" w:fill="auto"/>
            <w:vAlign w:val="center"/>
            <w:hideMark/>
          </w:tcPr>
          <w:p w14:paraId="4EB8298C" w14:textId="77777777" w:rsidR="002325C7" w:rsidRPr="007B405D" w:rsidRDefault="002325C7" w:rsidP="006941E8">
            <w:pPr>
              <w:jc w:val="center"/>
              <w:rPr>
                <w:bCs/>
                <w:iCs/>
                <w:color w:val="000000"/>
                <w:lang w:eastAsia="zh-CN"/>
              </w:rPr>
            </w:pPr>
            <w:r w:rsidRPr="007B405D">
              <w:rPr>
                <w:bCs/>
                <w:iCs/>
                <w:color w:val="000000"/>
                <w:lang w:eastAsia="zh-CN"/>
              </w:rPr>
              <w:t>NCS</w:t>
            </w:r>
          </w:p>
        </w:tc>
        <w:tc>
          <w:tcPr>
            <w:tcW w:w="360" w:type="pct"/>
            <w:tcBorders>
              <w:top w:val="nil"/>
              <w:left w:val="nil"/>
              <w:bottom w:val="single" w:sz="4" w:space="0" w:color="auto"/>
              <w:right w:val="single" w:sz="4" w:space="0" w:color="auto"/>
            </w:tcBorders>
            <w:shd w:val="clear" w:color="auto" w:fill="auto"/>
            <w:vAlign w:val="center"/>
            <w:hideMark/>
          </w:tcPr>
          <w:p w14:paraId="0A1EC76A" w14:textId="77777777" w:rsidR="002325C7" w:rsidRPr="007B405D" w:rsidRDefault="002325C7" w:rsidP="006941E8">
            <w:pPr>
              <w:jc w:val="center"/>
              <w:rPr>
                <w:bCs/>
                <w:iCs/>
                <w:color w:val="000000"/>
                <w:lang w:eastAsia="zh-CN"/>
              </w:rPr>
            </w:pPr>
            <w:r w:rsidRPr="007B405D">
              <w:rPr>
                <w:bCs/>
                <w:iCs/>
                <w:color w:val="000000"/>
                <w:lang w:eastAsia="zh-CN"/>
              </w:rPr>
              <w:t xml:space="preserve">Cao </w:t>
            </w:r>
            <w:r w:rsidRPr="007B405D">
              <w:rPr>
                <w:bCs/>
                <w:iCs/>
                <w:color w:val="000000"/>
                <w:lang w:eastAsia="zh-CN"/>
              </w:rPr>
              <w:br/>
              <w:t>học</w:t>
            </w:r>
          </w:p>
        </w:tc>
        <w:tc>
          <w:tcPr>
            <w:tcW w:w="319" w:type="pct"/>
            <w:tcBorders>
              <w:top w:val="nil"/>
              <w:left w:val="nil"/>
              <w:bottom w:val="single" w:sz="4" w:space="0" w:color="auto"/>
              <w:right w:val="single" w:sz="4" w:space="0" w:color="auto"/>
            </w:tcBorders>
            <w:shd w:val="clear" w:color="auto" w:fill="auto"/>
            <w:vAlign w:val="center"/>
            <w:hideMark/>
          </w:tcPr>
          <w:p w14:paraId="59D4E208" w14:textId="77777777" w:rsidR="002325C7" w:rsidRPr="007B405D" w:rsidRDefault="002325C7" w:rsidP="006941E8">
            <w:pPr>
              <w:jc w:val="center"/>
              <w:rPr>
                <w:bCs/>
                <w:iCs/>
                <w:color w:val="000000"/>
                <w:lang w:eastAsia="zh-CN"/>
              </w:rPr>
            </w:pPr>
            <w:r w:rsidRPr="007B405D">
              <w:rPr>
                <w:bCs/>
                <w:iCs/>
                <w:color w:val="000000"/>
                <w:lang w:eastAsia="zh-CN"/>
              </w:rPr>
              <w:t xml:space="preserve">Đại </w:t>
            </w:r>
            <w:r w:rsidRPr="007B405D">
              <w:rPr>
                <w:bCs/>
                <w:iCs/>
                <w:color w:val="000000"/>
                <w:lang w:eastAsia="zh-CN"/>
              </w:rPr>
              <w:br/>
              <w:t>học</w:t>
            </w:r>
          </w:p>
        </w:tc>
        <w:tc>
          <w:tcPr>
            <w:tcW w:w="391" w:type="pct"/>
            <w:tcBorders>
              <w:top w:val="nil"/>
              <w:left w:val="nil"/>
              <w:bottom w:val="single" w:sz="4" w:space="0" w:color="auto"/>
              <w:right w:val="single" w:sz="4" w:space="0" w:color="auto"/>
            </w:tcBorders>
            <w:shd w:val="clear" w:color="auto" w:fill="auto"/>
            <w:vAlign w:val="center"/>
            <w:hideMark/>
          </w:tcPr>
          <w:p w14:paraId="56F03368" w14:textId="77777777" w:rsidR="002325C7" w:rsidRPr="007B405D" w:rsidRDefault="002325C7" w:rsidP="006941E8">
            <w:pPr>
              <w:jc w:val="center"/>
              <w:rPr>
                <w:bCs/>
                <w:iCs/>
                <w:color w:val="000000"/>
                <w:lang w:eastAsia="zh-CN"/>
              </w:rPr>
            </w:pPr>
            <w:r w:rsidRPr="007B405D">
              <w:rPr>
                <w:bCs/>
                <w:iCs/>
                <w:color w:val="000000"/>
                <w:lang w:eastAsia="zh-CN"/>
              </w:rPr>
              <w:t>Thực tập</w:t>
            </w:r>
          </w:p>
        </w:tc>
      </w:tr>
      <w:tr w:rsidR="002325C7" w:rsidRPr="007B405D" w14:paraId="6F477281" w14:textId="77777777" w:rsidTr="006941E8">
        <w:trPr>
          <w:trHeight w:val="312"/>
        </w:trPr>
        <w:tc>
          <w:tcPr>
            <w:tcW w:w="1071" w:type="pct"/>
            <w:tcBorders>
              <w:top w:val="nil"/>
              <w:left w:val="single" w:sz="4" w:space="0" w:color="000000"/>
              <w:bottom w:val="single" w:sz="4" w:space="0" w:color="000000"/>
              <w:right w:val="single" w:sz="4" w:space="0" w:color="000000"/>
            </w:tcBorders>
            <w:shd w:val="clear" w:color="auto" w:fill="auto"/>
            <w:noWrap/>
            <w:vAlign w:val="bottom"/>
            <w:hideMark/>
          </w:tcPr>
          <w:p w14:paraId="54FAE35C" w14:textId="77777777" w:rsidR="002325C7" w:rsidRPr="007B405D" w:rsidRDefault="002325C7" w:rsidP="006941E8">
            <w:pPr>
              <w:jc w:val="center"/>
              <w:rPr>
                <w:color w:val="000000"/>
                <w:lang w:eastAsia="zh-CN"/>
              </w:rPr>
            </w:pPr>
            <w:r w:rsidRPr="007B405D">
              <w:rPr>
                <w:color w:val="000000"/>
                <w:lang w:eastAsia="zh-CN"/>
              </w:rPr>
              <w:t>2022</w:t>
            </w:r>
          </w:p>
        </w:tc>
        <w:tc>
          <w:tcPr>
            <w:tcW w:w="352" w:type="pct"/>
            <w:tcBorders>
              <w:top w:val="nil"/>
              <w:left w:val="nil"/>
              <w:bottom w:val="single" w:sz="4" w:space="0" w:color="auto"/>
              <w:right w:val="single" w:sz="4" w:space="0" w:color="auto"/>
            </w:tcBorders>
            <w:shd w:val="clear" w:color="auto" w:fill="auto"/>
            <w:noWrap/>
            <w:vAlign w:val="center"/>
            <w:hideMark/>
          </w:tcPr>
          <w:p w14:paraId="37F12799"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02</w:t>
            </w:r>
          </w:p>
        </w:tc>
        <w:tc>
          <w:tcPr>
            <w:tcW w:w="391" w:type="pct"/>
            <w:tcBorders>
              <w:top w:val="nil"/>
              <w:left w:val="nil"/>
              <w:bottom w:val="single" w:sz="4" w:space="0" w:color="auto"/>
              <w:right w:val="single" w:sz="4" w:space="0" w:color="auto"/>
            </w:tcBorders>
            <w:shd w:val="clear" w:color="auto" w:fill="auto"/>
            <w:noWrap/>
            <w:vAlign w:val="center"/>
            <w:hideMark/>
          </w:tcPr>
          <w:p w14:paraId="3988F6FE"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11</w:t>
            </w:r>
          </w:p>
        </w:tc>
        <w:tc>
          <w:tcPr>
            <w:tcW w:w="350" w:type="pct"/>
            <w:tcBorders>
              <w:top w:val="nil"/>
              <w:left w:val="nil"/>
              <w:bottom w:val="single" w:sz="4" w:space="0" w:color="auto"/>
              <w:right w:val="single" w:sz="4" w:space="0" w:color="auto"/>
            </w:tcBorders>
            <w:shd w:val="clear" w:color="auto" w:fill="auto"/>
            <w:noWrap/>
            <w:vAlign w:val="center"/>
            <w:hideMark/>
          </w:tcPr>
          <w:p w14:paraId="56784304"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14</w:t>
            </w:r>
          </w:p>
        </w:tc>
        <w:tc>
          <w:tcPr>
            <w:tcW w:w="385" w:type="pct"/>
            <w:tcBorders>
              <w:top w:val="nil"/>
              <w:left w:val="nil"/>
              <w:bottom w:val="single" w:sz="4" w:space="0" w:color="auto"/>
              <w:right w:val="single" w:sz="4" w:space="0" w:color="auto"/>
            </w:tcBorders>
            <w:shd w:val="clear" w:color="auto" w:fill="auto"/>
            <w:noWrap/>
            <w:vAlign w:val="center"/>
            <w:hideMark/>
          </w:tcPr>
          <w:p w14:paraId="5EAFDB00"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c>
          <w:tcPr>
            <w:tcW w:w="360" w:type="pct"/>
            <w:tcBorders>
              <w:top w:val="nil"/>
              <w:left w:val="nil"/>
              <w:bottom w:val="single" w:sz="4" w:space="0" w:color="auto"/>
              <w:right w:val="single" w:sz="4" w:space="0" w:color="auto"/>
            </w:tcBorders>
            <w:shd w:val="clear" w:color="auto" w:fill="auto"/>
            <w:noWrap/>
            <w:vAlign w:val="center"/>
            <w:hideMark/>
          </w:tcPr>
          <w:p w14:paraId="1B717415"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03</w:t>
            </w:r>
          </w:p>
        </w:tc>
        <w:tc>
          <w:tcPr>
            <w:tcW w:w="340" w:type="pct"/>
            <w:tcBorders>
              <w:top w:val="nil"/>
              <w:left w:val="nil"/>
              <w:bottom w:val="single" w:sz="4" w:space="0" w:color="auto"/>
              <w:right w:val="single" w:sz="4" w:space="0" w:color="auto"/>
            </w:tcBorders>
            <w:shd w:val="clear" w:color="auto" w:fill="auto"/>
            <w:noWrap/>
            <w:vAlign w:val="center"/>
            <w:hideMark/>
          </w:tcPr>
          <w:p w14:paraId="6A7EFE60" w14:textId="77777777" w:rsidR="002325C7" w:rsidRPr="007B405D" w:rsidRDefault="002325C7" w:rsidP="006941E8">
            <w:pPr>
              <w:jc w:val="center"/>
              <w:rPr>
                <w:color w:val="000000"/>
                <w:sz w:val="22"/>
                <w:szCs w:val="22"/>
                <w:lang w:eastAsia="zh-CN"/>
              </w:rPr>
            </w:pPr>
            <w:r w:rsidRPr="007B405D">
              <w:rPr>
                <w:color w:val="000000"/>
                <w:sz w:val="22"/>
                <w:szCs w:val="22"/>
                <w:lang w:eastAsia="zh-CN"/>
              </w:rPr>
              <w:t>30</w:t>
            </w:r>
          </w:p>
        </w:tc>
        <w:tc>
          <w:tcPr>
            <w:tcW w:w="329" w:type="pct"/>
            <w:tcBorders>
              <w:top w:val="nil"/>
              <w:left w:val="nil"/>
              <w:bottom w:val="single" w:sz="4" w:space="0" w:color="auto"/>
              <w:right w:val="single" w:sz="4" w:space="0" w:color="auto"/>
            </w:tcBorders>
            <w:shd w:val="clear" w:color="auto" w:fill="auto"/>
            <w:noWrap/>
            <w:vAlign w:val="center"/>
            <w:hideMark/>
          </w:tcPr>
          <w:p w14:paraId="24F1A449" w14:textId="77777777" w:rsidR="002325C7" w:rsidRPr="007B405D" w:rsidRDefault="002325C7" w:rsidP="006941E8">
            <w:pPr>
              <w:jc w:val="center"/>
              <w:rPr>
                <w:color w:val="000000"/>
                <w:sz w:val="22"/>
                <w:szCs w:val="22"/>
                <w:lang w:eastAsia="zh-CN"/>
              </w:rPr>
            </w:pPr>
            <w:r w:rsidRPr="007B405D">
              <w:rPr>
                <w:color w:val="000000"/>
                <w:sz w:val="22"/>
                <w:szCs w:val="22"/>
                <w:lang w:eastAsia="zh-CN"/>
              </w:rPr>
              <w:t>61</w:t>
            </w:r>
          </w:p>
        </w:tc>
        <w:tc>
          <w:tcPr>
            <w:tcW w:w="352" w:type="pct"/>
            <w:tcBorders>
              <w:top w:val="nil"/>
              <w:left w:val="nil"/>
              <w:bottom w:val="single" w:sz="4" w:space="0" w:color="auto"/>
              <w:right w:val="single" w:sz="4" w:space="0" w:color="auto"/>
            </w:tcBorders>
            <w:shd w:val="clear" w:color="auto" w:fill="auto"/>
            <w:noWrap/>
            <w:vAlign w:val="center"/>
            <w:hideMark/>
          </w:tcPr>
          <w:p w14:paraId="65383E36"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c>
          <w:tcPr>
            <w:tcW w:w="360" w:type="pct"/>
            <w:tcBorders>
              <w:top w:val="nil"/>
              <w:left w:val="nil"/>
              <w:bottom w:val="single" w:sz="4" w:space="0" w:color="auto"/>
              <w:right w:val="single" w:sz="4" w:space="0" w:color="auto"/>
            </w:tcBorders>
            <w:shd w:val="clear" w:color="auto" w:fill="auto"/>
            <w:noWrap/>
            <w:vAlign w:val="center"/>
            <w:hideMark/>
          </w:tcPr>
          <w:p w14:paraId="39B79893"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10</w:t>
            </w:r>
          </w:p>
        </w:tc>
        <w:tc>
          <w:tcPr>
            <w:tcW w:w="319" w:type="pct"/>
            <w:tcBorders>
              <w:top w:val="nil"/>
              <w:left w:val="nil"/>
              <w:bottom w:val="single" w:sz="4" w:space="0" w:color="auto"/>
              <w:right w:val="single" w:sz="4" w:space="0" w:color="auto"/>
            </w:tcBorders>
            <w:shd w:val="clear" w:color="auto" w:fill="auto"/>
            <w:noWrap/>
            <w:vAlign w:val="center"/>
            <w:hideMark/>
          </w:tcPr>
          <w:p w14:paraId="53651C03"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18</w:t>
            </w:r>
          </w:p>
        </w:tc>
        <w:tc>
          <w:tcPr>
            <w:tcW w:w="391" w:type="pct"/>
            <w:tcBorders>
              <w:top w:val="nil"/>
              <w:left w:val="nil"/>
              <w:bottom w:val="single" w:sz="4" w:space="0" w:color="auto"/>
              <w:right w:val="single" w:sz="4" w:space="0" w:color="auto"/>
            </w:tcBorders>
            <w:shd w:val="clear" w:color="auto" w:fill="auto"/>
            <w:noWrap/>
            <w:vAlign w:val="center"/>
            <w:hideMark/>
          </w:tcPr>
          <w:p w14:paraId="68F08C68"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r>
      <w:tr w:rsidR="002325C7" w:rsidRPr="007B405D" w14:paraId="72719FED" w14:textId="77777777" w:rsidTr="006941E8">
        <w:trPr>
          <w:trHeight w:val="312"/>
        </w:trPr>
        <w:tc>
          <w:tcPr>
            <w:tcW w:w="1071" w:type="pct"/>
            <w:tcBorders>
              <w:top w:val="nil"/>
              <w:left w:val="single" w:sz="4" w:space="0" w:color="000000"/>
              <w:bottom w:val="single" w:sz="4" w:space="0" w:color="000000"/>
              <w:right w:val="single" w:sz="4" w:space="0" w:color="000000"/>
            </w:tcBorders>
            <w:shd w:val="clear" w:color="auto" w:fill="auto"/>
            <w:noWrap/>
            <w:vAlign w:val="bottom"/>
            <w:hideMark/>
          </w:tcPr>
          <w:p w14:paraId="2300C151" w14:textId="77777777" w:rsidR="002325C7" w:rsidRPr="007B405D" w:rsidRDefault="002325C7" w:rsidP="006941E8">
            <w:pPr>
              <w:jc w:val="center"/>
              <w:rPr>
                <w:color w:val="000000"/>
                <w:lang w:eastAsia="zh-CN"/>
              </w:rPr>
            </w:pPr>
            <w:r w:rsidRPr="007B405D">
              <w:rPr>
                <w:color w:val="000000"/>
                <w:lang w:eastAsia="zh-CN"/>
              </w:rPr>
              <w:t>2023</w:t>
            </w:r>
          </w:p>
        </w:tc>
        <w:tc>
          <w:tcPr>
            <w:tcW w:w="352" w:type="pct"/>
            <w:tcBorders>
              <w:top w:val="nil"/>
              <w:left w:val="nil"/>
              <w:bottom w:val="single" w:sz="4" w:space="0" w:color="auto"/>
              <w:right w:val="single" w:sz="4" w:space="0" w:color="auto"/>
            </w:tcBorders>
            <w:shd w:val="clear" w:color="auto" w:fill="auto"/>
            <w:noWrap/>
            <w:vAlign w:val="center"/>
            <w:hideMark/>
          </w:tcPr>
          <w:p w14:paraId="6F04FD0A"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c>
          <w:tcPr>
            <w:tcW w:w="391" w:type="pct"/>
            <w:tcBorders>
              <w:top w:val="nil"/>
              <w:left w:val="nil"/>
              <w:bottom w:val="single" w:sz="4" w:space="0" w:color="auto"/>
              <w:right w:val="single" w:sz="4" w:space="0" w:color="auto"/>
            </w:tcBorders>
            <w:shd w:val="clear" w:color="auto" w:fill="auto"/>
            <w:noWrap/>
            <w:vAlign w:val="center"/>
            <w:hideMark/>
          </w:tcPr>
          <w:p w14:paraId="2D6C66D0"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08</w:t>
            </w:r>
          </w:p>
        </w:tc>
        <w:tc>
          <w:tcPr>
            <w:tcW w:w="350" w:type="pct"/>
            <w:tcBorders>
              <w:top w:val="nil"/>
              <w:left w:val="nil"/>
              <w:bottom w:val="single" w:sz="4" w:space="0" w:color="auto"/>
              <w:right w:val="single" w:sz="4" w:space="0" w:color="auto"/>
            </w:tcBorders>
            <w:shd w:val="clear" w:color="auto" w:fill="auto"/>
            <w:noWrap/>
            <w:vAlign w:val="center"/>
            <w:hideMark/>
          </w:tcPr>
          <w:p w14:paraId="32B10EE8"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12</w:t>
            </w:r>
          </w:p>
        </w:tc>
        <w:tc>
          <w:tcPr>
            <w:tcW w:w="385" w:type="pct"/>
            <w:tcBorders>
              <w:top w:val="nil"/>
              <w:left w:val="nil"/>
              <w:bottom w:val="single" w:sz="4" w:space="0" w:color="auto"/>
              <w:right w:val="single" w:sz="4" w:space="0" w:color="auto"/>
            </w:tcBorders>
            <w:shd w:val="clear" w:color="auto" w:fill="auto"/>
            <w:noWrap/>
            <w:vAlign w:val="center"/>
            <w:hideMark/>
          </w:tcPr>
          <w:p w14:paraId="4D95AFD9"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01</w:t>
            </w:r>
          </w:p>
        </w:tc>
        <w:tc>
          <w:tcPr>
            <w:tcW w:w="360" w:type="pct"/>
            <w:tcBorders>
              <w:top w:val="nil"/>
              <w:left w:val="nil"/>
              <w:bottom w:val="single" w:sz="4" w:space="0" w:color="auto"/>
              <w:right w:val="single" w:sz="4" w:space="0" w:color="auto"/>
            </w:tcBorders>
            <w:shd w:val="clear" w:color="auto" w:fill="auto"/>
            <w:noWrap/>
            <w:vAlign w:val="center"/>
            <w:hideMark/>
          </w:tcPr>
          <w:p w14:paraId="0288024F"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03</w:t>
            </w:r>
          </w:p>
        </w:tc>
        <w:tc>
          <w:tcPr>
            <w:tcW w:w="340" w:type="pct"/>
            <w:tcBorders>
              <w:top w:val="nil"/>
              <w:left w:val="nil"/>
              <w:bottom w:val="single" w:sz="4" w:space="0" w:color="auto"/>
              <w:right w:val="single" w:sz="4" w:space="0" w:color="auto"/>
            </w:tcBorders>
            <w:shd w:val="clear" w:color="auto" w:fill="auto"/>
            <w:noWrap/>
            <w:vAlign w:val="center"/>
            <w:hideMark/>
          </w:tcPr>
          <w:p w14:paraId="36CD4872" w14:textId="77777777" w:rsidR="002325C7" w:rsidRPr="007B405D" w:rsidRDefault="002325C7" w:rsidP="006941E8">
            <w:pPr>
              <w:jc w:val="center"/>
              <w:rPr>
                <w:color w:val="000000"/>
                <w:sz w:val="22"/>
                <w:szCs w:val="22"/>
                <w:lang w:eastAsia="zh-CN"/>
              </w:rPr>
            </w:pPr>
            <w:r w:rsidRPr="007B405D">
              <w:rPr>
                <w:color w:val="000000"/>
                <w:sz w:val="22"/>
                <w:szCs w:val="22"/>
                <w:lang w:eastAsia="zh-CN"/>
              </w:rPr>
              <w:t>34</w:t>
            </w:r>
          </w:p>
        </w:tc>
        <w:tc>
          <w:tcPr>
            <w:tcW w:w="329" w:type="pct"/>
            <w:tcBorders>
              <w:top w:val="nil"/>
              <w:left w:val="nil"/>
              <w:bottom w:val="single" w:sz="4" w:space="0" w:color="auto"/>
              <w:right w:val="single" w:sz="4" w:space="0" w:color="auto"/>
            </w:tcBorders>
            <w:shd w:val="clear" w:color="auto" w:fill="auto"/>
            <w:noWrap/>
            <w:vAlign w:val="center"/>
            <w:hideMark/>
          </w:tcPr>
          <w:p w14:paraId="7C611CA6" w14:textId="77777777" w:rsidR="002325C7" w:rsidRPr="007B405D" w:rsidRDefault="002325C7" w:rsidP="006941E8">
            <w:pPr>
              <w:jc w:val="center"/>
              <w:rPr>
                <w:color w:val="000000"/>
                <w:sz w:val="22"/>
                <w:szCs w:val="22"/>
                <w:lang w:eastAsia="zh-CN"/>
              </w:rPr>
            </w:pPr>
            <w:r w:rsidRPr="007B405D">
              <w:rPr>
                <w:color w:val="000000"/>
                <w:sz w:val="22"/>
                <w:szCs w:val="22"/>
                <w:lang w:eastAsia="zh-CN"/>
              </w:rPr>
              <w:t>46</w:t>
            </w:r>
          </w:p>
        </w:tc>
        <w:tc>
          <w:tcPr>
            <w:tcW w:w="352" w:type="pct"/>
            <w:tcBorders>
              <w:top w:val="nil"/>
              <w:left w:val="nil"/>
              <w:bottom w:val="single" w:sz="4" w:space="0" w:color="auto"/>
              <w:right w:val="single" w:sz="4" w:space="0" w:color="auto"/>
            </w:tcBorders>
            <w:shd w:val="clear" w:color="auto" w:fill="auto"/>
            <w:noWrap/>
            <w:vAlign w:val="center"/>
            <w:hideMark/>
          </w:tcPr>
          <w:p w14:paraId="3494F7FA"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c>
          <w:tcPr>
            <w:tcW w:w="360" w:type="pct"/>
            <w:tcBorders>
              <w:top w:val="nil"/>
              <w:left w:val="nil"/>
              <w:bottom w:val="single" w:sz="4" w:space="0" w:color="auto"/>
              <w:right w:val="single" w:sz="4" w:space="0" w:color="auto"/>
            </w:tcBorders>
            <w:shd w:val="clear" w:color="auto" w:fill="auto"/>
            <w:noWrap/>
            <w:vAlign w:val="center"/>
            <w:hideMark/>
          </w:tcPr>
          <w:p w14:paraId="51FA0C68"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07</w:t>
            </w:r>
          </w:p>
        </w:tc>
        <w:tc>
          <w:tcPr>
            <w:tcW w:w="319" w:type="pct"/>
            <w:tcBorders>
              <w:top w:val="nil"/>
              <w:left w:val="nil"/>
              <w:bottom w:val="single" w:sz="4" w:space="0" w:color="auto"/>
              <w:right w:val="single" w:sz="4" w:space="0" w:color="auto"/>
            </w:tcBorders>
            <w:shd w:val="clear" w:color="auto" w:fill="auto"/>
            <w:noWrap/>
            <w:vAlign w:val="center"/>
            <w:hideMark/>
          </w:tcPr>
          <w:p w14:paraId="00BAE2C7"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16</w:t>
            </w:r>
          </w:p>
        </w:tc>
        <w:tc>
          <w:tcPr>
            <w:tcW w:w="391" w:type="pct"/>
            <w:tcBorders>
              <w:top w:val="nil"/>
              <w:left w:val="nil"/>
              <w:bottom w:val="single" w:sz="4" w:space="0" w:color="auto"/>
              <w:right w:val="single" w:sz="4" w:space="0" w:color="auto"/>
            </w:tcBorders>
            <w:shd w:val="clear" w:color="auto" w:fill="auto"/>
            <w:noWrap/>
            <w:vAlign w:val="center"/>
            <w:hideMark/>
          </w:tcPr>
          <w:p w14:paraId="1C9A9C79"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r>
      <w:tr w:rsidR="002325C7" w:rsidRPr="007B405D" w14:paraId="3F33EF4C" w14:textId="77777777" w:rsidTr="006941E8">
        <w:trPr>
          <w:trHeight w:val="312"/>
        </w:trPr>
        <w:tc>
          <w:tcPr>
            <w:tcW w:w="1071" w:type="pct"/>
            <w:tcBorders>
              <w:top w:val="nil"/>
              <w:left w:val="single" w:sz="4" w:space="0" w:color="000000"/>
              <w:bottom w:val="single" w:sz="4" w:space="0" w:color="000000"/>
              <w:right w:val="single" w:sz="4" w:space="0" w:color="000000"/>
            </w:tcBorders>
            <w:shd w:val="clear" w:color="auto" w:fill="auto"/>
            <w:noWrap/>
            <w:vAlign w:val="bottom"/>
            <w:hideMark/>
          </w:tcPr>
          <w:p w14:paraId="0C1147DE" w14:textId="77777777" w:rsidR="002325C7" w:rsidRPr="007B405D" w:rsidRDefault="002325C7" w:rsidP="006941E8">
            <w:pPr>
              <w:jc w:val="center"/>
              <w:rPr>
                <w:color w:val="000000"/>
                <w:lang w:eastAsia="zh-CN"/>
              </w:rPr>
            </w:pPr>
            <w:r w:rsidRPr="007B405D">
              <w:rPr>
                <w:color w:val="000000"/>
                <w:lang w:eastAsia="zh-CN"/>
              </w:rPr>
              <w:t>8/2024</w:t>
            </w:r>
          </w:p>
        </w:tc>
        <w:tc>
          <w:tcPr>
            <w:tcW w:w="352" w:type="pct"/>
            <w:tcBorders>
              <w:top w:val="nil"/>
              <w:left w:val="nil"/>
              <w:bottom w:val="single" w:sz="4" w:space="0" w:color="auto"/>
              <w:right w:val="single" w:sz="4" w:space="0" w:color="auto"/>
            </w:tcBorders>
            <w:shd w:val="clear" w:color="auto" w:fill="auto"/>
            <w:noWrap/>
            <w:vAlign w:val="center"/>
            <w:hideMark/>
          </w:tcPr>
          <w:p w14:paraId="0DFEB5CA"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c>
          <w:tcPr>
            <w:tcW w:w="391" w:type="pct"/>
            <w:tcBorders>
              <w:top w:val="nil"/>
              <w:left w:val="nil"/>
              <w:bottom w:val="single" w:sz="4" w:space="0" w:color="auto"/>
              <w:right w:val="single" w:sz="4" w:space="0" w:color="auto"/>
            </w:tcBorders>
            <w:shd w:val="clear" w:color="auto" w:fill="auto"/>
            <w:noWrap/>
            <w:vAlign w:val="center"/>
            <w:hideMark/>
          </w:tcPr>
          <w:p w14:paraId="7F90CB50"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c>
          <w:tcPr>
            <w:tcW w:w="350" w:type="pct"/>
            <w:tcBorders>
              <w:top w:val="nil"/>
              <w:left w:val="nil"/>
              <w:bottom w:val="single" w:sz="4" w:space="0" w:color="auto"/>
              <w:right w:val="single" w:sz="4" w:space="0" w:color="auto"/>
            </w:tcBorders>
            <w:shd w:val="clear" w:color="auto" w:fill="auto"/>
            <w:noWrap/>
            <w:vAlign w:val="center"/>
            <w:hideMark/>
          </w:tcPr>
          <w:p w14:paraId="70D4C075"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c>
          <w:tcPr>
            <w:tcW w:w="385" w:type="pct"/>
            <w:tcBorders>
              <w:top w:val="nil"/>
              <w:left w:val="nil"/>
              <w:bottom w:val="single" w:sz="4" w:space="0" w:color="auto"/>
              <w:right w:val="single" w:sz="4" w:space="0" w:color="auto"/>
            </w:tcBorders>
            <w:shd w:val="clear" w:color="auto" w:fill="auto"/>
            <w:noWrap/>
            <w:vAlign w:val="center"/>
            <w:hideMark/>
          </w:tcPr>
          <w:p w14:paraId="2CE84736"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c>
          <w:tcPr>
            <w:tcW w:w="360" w:type="pct"/>
            <w:tcBorders>
              <w:top w:val="nil"/>
              <w:left w:val="nil"/>
              <w:bottom w:val="single" w:sz="4" w:space="0" w:color="auto"/>
              <w:right w:val="single" w:sz="4" w:space="0" w:color="auto"/>
            </w:tcBorders>
            <w:shd w:val="clear" w:color="auto" w:fill="auto"/>
            <w:noWrap/>
            <w:vAlign w:val="center"/>
            <w:hideMark/>
          </w:tcPr>
          <w:p w14:paraId="66009C16"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03</w:t>
            </w:r>
          </w:p>
        </w:tc>
        <w:tc>
          <w:tcPr>
            <w:tcW w:w="340" w:type="pct"/>
            <w:tcBorders>
              <w:top w:val="nil"/>
              <w:left w:val="nil"/>
              <w:bottom w:val="single" w:sz="4" w:space="0" w:color="auto"/>
              <w:right w:val="single" w:sz="4" w:space="0" w:color="auto"/>
            </w:tcBorders>
            <w:shd w:val="clear" w:color="auto" w:fill="auto"/>
            <w:noWrap/>
            <w:vAlign w:val="center"/>
            <w:hideMark/>
          </w:tcPr>
          <w:p w14:paraId="4070DE0B"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17</w:t>
            </w:r>
          </w:p>
        </w:tc>
        <w:tc>
          <w:tcPr>
            <w:tcW w:w="329" w:type="pct"/>
            <w:tcBorders>
              <w:top w:val="nil"/>
              <w:left w:val="nil"/>
              <w:bottom w:val="single" w:sz="4" w:space="0" w:color="auto"/>
              <w:right w:val="single" w:sz="4" w:space="0" w:color="auto"/>
            </w:tcBorders>
            <w:shd w:val="clear" w:color="auto" w:fill="auto"/>
            <w:noWrap/>
            <w:vAlign w:val="center"/>
            <w:hideMark/>
          </w:tcPr>
          <w:p w14:paraId="450334F8" w14:textId="77777777" w:rsidR="002325C7" w:rsidRPr="007B405D" w:rsidRDefault="002325C7" w:rsidP="006941E8">
            <w:pPr>
              <w:jc w:val="center"/>
              <w:rPr>
                <w:color w:val="000000"/>
                <w:sz w:val="22"/>
                <w:szCs w:val="22"/>
                <w:lang w:eastAsia="zh-CN"/>
              </w:rPr>
            </w:pPr>
            <w:r w:rsidRPr="007B405D">
              <w:rPr>
                <w:color w:val="000000"/>
                <w:sz w:val="22"/>
                <w:szCs w:val="22"/>
                <w:lang w:eastAsia="zh-CN"/>
              </w:rPr>
              <w:t>40</w:t>
            </w:r>
          </w:p>
        </w:tc>
        <w:tc>
          <w:tcPr>
            <w:tcW w:w="352" w:type="pct"/>
            <w:tcBorders>
              <w:top w:val="nil"/>
              <w:left w:val="nil"/>
              <w:bottom w:val="single" w:sz="4" w:space="0" w:color="auto"/>
              <w:right w:val="single" w:sz="4" w:space="0" w:color="auto"/>
            </w:tcBorders>
            <w:shd w:val="clear" w:color="auto" w:fill="auto"/>
            <w:noWrap/>
            <w:vAlign w:val="center"/>
            <w:hideMark/>
          </w:tcPr>
          <w:p w14:paraId="2713FA4B"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w:t>
            </w:r>
          </w:p>
        </w:tc>
        <w:tc>
          <w:tcPr>
            <w:tcW w:w="360" w:type="pct"/>
            <w:tcBorders>
              <w:top w:val="nil"/>
              <w:left w:val="nil"/>
              <w:bottom w:val="single" w:sz="4" w:space="0" w:color="auto"/>
              <w:right w:val="single" w:sz="4" w:space="0" w:color="auto"/>
            </w:tcBorders>
            <w:shd w:val="clear" w:color="auto" w:fill="auto"/>
            <w:noWrap/>
            <w:vAlign w:val="center"/>
            <w:hideMark/>
          </w:tcPr>
          <w:p w14:paraId="4475CDD0" w14:textId="77777777" w:rsidR="002325C7" w:rsidRPr="007B405D" w:rsidRDefault="002325C7" w:rsidP="006941E8">
            <w:pPr>
              <w:jc w:val="center"/>
              <w:rPr>
                <w:color w:val="000000"/>
                <w:sz w:val="22"/>
                <w:szCs w:val="22"/>
                <w:lang w:eastAsia="zh-CN"/>
              </w:rPr>
            </w:pPr>
            <w:r w:rsidRPr="007B405D">
              <w:rPr>
                <w:color w:val="000000"/>
                <w:sz w:val="22"/>
                <w:szCs w:val="22"/>
                <w:lang w:eastAsia="zh-CN"/>
              </w:rPr>
              <w:t>17</w:t>
            </w:r>
          </w:p>
        </w:tc>
        <w:tc>
          <w:tcPr>
            <w:tcW w:w="319" w:type="pct"/>
            <w:tcBorders>
              <w:top w:val="nil"/>
              <w:left w:val="nil"/>
              <w:bottom w:val="single" w:sz="4" w:space="0" w:color="auto"/>
              <w:right w:val="single" w:sz="4" w:space="0" w:color="auto"/>
            </w:tcBorders>
            <w:shd w:val="clear" w:color="auto" w:fill="auto"/>
            <w:noWrap/>
            <w:vAlign w:val="center"/>
            <w:hideMark/>
          </w:tcPr>
          <w:p w14:paraId="766571BC" w14:textId="77777777" w:rsidR="002325C7" w:rsidRPr="007B405D" w:rsidRDefault="002325C7" w:rsidP="006941E8">
            <w:pPr>
              <w:jc w:val="center"/>
              <w:rPr>
                <w:color w:val="000000"/>
                <w:sz w:val="22"/>
                <w:szCs w:val="22"/>
                <w:lang w:eastAsia="zh-CN"/>
              </w:rPr>
            </w:pPr>
            <w:r w:rsidRPr="007B405D">
              <w:rPr>
                <w:color w:val="000000"/>
                <w:sz w:val="22"/>
                <w:szCs w:val="22"/>
                <w:lang w:eastAsia="zh-CN"/>
              </w:rPr>
              <w:t>4</w:t>
            </w:r>
          </w:p>
        </w:tc>
        <w:tc>
          <w:tcPr>
            <w:tcW w:w="391" w:type="pct"/>
            <w:tcBorders>
              <w:top w:val="nil"/>
              <w:left w:val="nil"/>
              <w:bottom w:val="single" w:sz="4" w:space="0" w:color="auto"/>
              <w:right w:val="single" w:sz="4" w:space="0" w:color="auto"/>
            </w:tcBorders>
            <w:shd w:val="clear" w:color="auto" w:fill="auto"/>
            <w:noWrap/>
            <w:vAlign w:val="center"/>
            <w:hideMark/>
          </w:tcPr>
          <w:p w14:paraId="2CC93CF3" w14:textId="77777777" w:rsidR="002325C7" w:rsidRPr="007B405D" w:rsidRDefault="002325C7" w:rsidP="006941E8">
            <w:pPr>
              <w:jc w:val="center"/>
              <w:rPr>
                <w:color w:val="000000"/>
                <w:sz w:val="22"/>
                <w:szCs w:val="22"/>
                <w:lang w:eastAsia="zh-CN"/>
              </w:rPr>
            </w:pPr>
            <w:r w:rsidRPr="007B405D">
              <w:rPr>
                <w:color w:val="000000"/>
                <w:sz w:val="22"/>
                <w:szCs w:val="22"/>
                <w:lang w:eastAsia="zh-CN"/>
              </w:rPr>
              <w:t>01</w:t>
            </w:r>
          </w:p>
        </w:tc>
      </w:tr>
      <w:tr w:rsidR="002325C7" w:rsidRPr="007B405D" w14:paraId="4FD26FC2" w14:textId="77777777" w:rsidTr="006941E8">
        <w:trPr>
          <w:trHeight w:val="324"/>
        </w:trPr>
        <w:tc>
          <w:tcPr>
            <w:tcW w:w="1071" w:type="pct"/>
            <w:tcBorders>
              <w:top w:val="nil"/>
              <w:left w:val="single" w:sz="4" w:space="0" w:color="000000"/>
              <w:bottom w:val="nil"/>
              <w:right w:val="single" w:sz="4" w:space="0" w:color="000000"/>
            </w:tcBorders>
            <w:shd w:val="clear" w:color="auto" w:fill="auto"/>
            <w:noWrap/>
            <w:vAlign w:val="bottom"/>
            <w:hideMark/>
          </w:tcPr>
          <w:p w14:paraId="46701937" w14:textId="77777777" w:rsidR="002325C7" w:rsidRPr="007B405D" w:rsidRDefault="002325C7" w:rsidP="006941E8">
            <w:pPr>
              <w:jc w:val="center"/>
              <w:rPr>
                <w:bCs/>
                <w:iCs/>
                <w:color w:val="000000"/>
                <w:lang w:eastAsia="zh-CN"/>
              </w:rPr>
            </w:pPr>
            <w:r w:rsidRPr="007B405D">
              <w:rPr>
                <w:bCs/>
                <w:iCs/>
                <w:color w:val="000000"/>
                <w:lang w:eastAsia="zh-CN"/>
              </w:rPr>
              <w:t>Tổng</w:t>
            </w:r>
          </w:p>
        </w:tc>
        <w:tc>
          <w:tcPr>
            <w:tcW w:w="1477"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55842E51"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48</w:t>
            </w:r>
          </w:p>
        </w:tc>
        <w:tc>
          <w:tcPr>
            <w:tcW w:w="103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AF1C360"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115</w:t>
            </w:r>
          </w:p>
        </w:tc>
        <w:tc>
          <w:tcPr>
            <w:tcW w:w="1422"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37E10D92"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73</w:t>
            </w:r>
          </w:p>
        </w:tc>
      </w:tr>
      <w:tr w:rsidR="002325C7" w:rsidRPr="007B405D" w14:paraId="168345DD" w14:textId="77777777" w:rsidTr="006941E8">
        <w:trPr>
          <w:trHeight w:val="58"/>
        </w:trPr>
        <w:tc>
          <w:tcPr>
            <w:tcW w:w="1071" w:type="pct"/>
            <w:tcBorders>
              <w:top w:val="single" w:sz="4" w:space="0" w:color="000000"/>
              <w:left w:val="single" w:sz="4" w:space="0" w:color="000000"/>
              <w:bottom w:val="single" w:sz="4" w:space="0" w:color="000000"/>
              <w:right w:val="single" w:sz="4" w:space="0" w:color="000000"/>
            </w:tcBorders>
            <w:shd w:val="clear" w:color="auto" w:fill="auto"/>
            <w:hideMark/>
          </w:tcPr>
          <w:p w14:paraId="57163786" w14:textId="77777777" w:rsidR="002325C7" w:rsidRPr="007B405D" w:rsidRDefault="002325C7" w:rsidP="006941E8">
            <w:pPr>
              <w:jc w:val="center"/>
              <w:rPr>
                <w:color w:val="000000"/>
                <w:lang w:eastAsia="zh-CN"/>
              </w:rPr>
            </w:pPr>
            <w:r w:rsidRPr="007B405D">
              <w:rPr>
                <w:color w:val="000000"/>
                <w:lang w:eastAsia="zh-CN"/>
              </w:rPr>
              <w:t>Dự kiến 2025-2027</w:t>
            </w:r>
            <w:r w:rsidRPr="007B405D">
              <w:rPr>
                <w:color w:val="000000"/>
                <w:lang w:eastAsia="zh-CN"/>
              </w:rPr>
              <w:br/>
              <w:t>(Chiến lược)</w:t>
            </w:r>
          </w:p>
        </w:tc>
        <w:tc>
          <w:tcPr>
            <w:tcW w:w="1477"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0A5CE58D"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đạt 1% tổng số sv</w:t>
            </w:r>
          </w:p>
        </w:tc>
        <w:tc>
          <w:tcPr>
            <w:tcW w:w="360" w:type="pct"/>
            <w:tcBorders>
              <w:top w:val="nil"/>
              <w:left w:val="nil"/>
              <w:bottom w:val="single" w:sz="4" w:space="0" w:color="auto"/>
              <w:right w:val="single" w:sz="4" w:space="0" w:color="auto"/>
            </w:tcBorders>
            <w:shd w:val="clear" w:color="auto" w:fill="auto"/>
            <w:noWrap/>
            <w:vAlign w:val="center"/>
            <w:hideMark/>
          </w:tcPr>
          <w:p w14:paraId="28DF0BD8"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 </w:t>
            </w:r>
          </w:p>
        </w:tc>
        <w:tc>
          <w:tcPr>
            <w:tcW w:w="340" w:type="pct"/>
            <w:tcBorders>
              <w:top w:val="nil"/>
              <w:left w:val="nil"/>
              <w:bottom w:val="single" w:sz="4" w:space="0" w:color="auto"/>
              <w:right w:val="single" w:sz="4" w:space="0" w:color="auto"/>
            </w:tcBorders>
            <w:shd w:val="clear" w:color="auto" w:fill="auto"/>
            <w:noWrap/>
            <w:vAlign w:val="center"/>
            <w:hideMark/>
          </w:tcPr>
          <w:p w14:paraId="0FD62B19"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 </w:t>
            </w:r>
          </w:p>
        </w:tc>
        <w:tc>
          <w:tcPr>
            <w:tcW w:w="329" w:type="pct"/>
            <w:tcBorders>
              <w:top w:val="nil"/>
              <w:left w:val="nil"/>
              <w:bottom w:val="single" w:sz="4" w:space="0" w:color="auto"/>
              <w:right w:val="single" w:sz="4" w:space="0" w:color="auto"/>
            </w:tcBorders>
            <w:shd w:val="clear" w:color="auto" w:fill="auto"/>
            <w:noWrap/>
            <w:vAlign w:val="center"/>
            <w:hideMark/>
          </w:tcPr>
          <w:p w14:paraId="26401874"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 </w:t>
            </w:r>
          </w:p>
        </w:tc>
        <w:tc>
          <w:tcPr>
            <w:tcW w:w="352" w:type="pct"/>
            <w:tcBorders>
              <w:top w:val="nil"/>
              <w:left w:val="nil"/>
              <w:bottom w:val="single" w:sz="4" w:space="0" w:color="auto"/>
              <w:right w:val="single" w:sz="4" w:space="0" w:color="auto"/>
            </w:tcBorders>
            <w:shd w:val="clear" w:color="auto" w:fill="auto"/>
            <w:noWrap/>
            <w:vAlign w:val="center"/>
            <w:hideMark/>
          </w:tcPr>
          <w:p w14:paraId="03F6E0BA"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 </w:t>
            </w:r>
          </w:p>
        </w:tc>
        <w:tc>
          <w:tcPr>
            <w:tcW w:w="360" w:type="pct"/>
            <w:tcBorders>
              <w:top w:val="nil"/>
              <w:left w:val="nil"/>
              <w:bottom w:val="single" w:sz="4" w:space="0" w:color="auto"/>
              <w:right w:val="single" w:sz="4" w:space="0" w:color="auto"/>
            </w:tcBorders>
            <w:shd w:val="clear" w:color="auto" w:fill="auto"/>
            <w:noWrap/>
            <w:vAlign w:val="center"/>
            <w:hideMark/>
          </w:tcPr>
          <w:p w14:paraId="3117F718"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 </w:t>
            </w:r>
          </w:p>
        </w:tc>
        <w:tc>
          <w:tcPr>
            <w:tcW w:w="319" w:type="pct"/>
            <w:tcBorders>
              <w:top w:val="nil"/>
              <w:left w:val="nil"/>
              <w:bottom w:val="single" w:sz="4" w:space="0" w:color="auto"/>
              <w:right w:val="single" w:sz="4" w:space="0" w:color="auto"/>
            </w:tcBorders>
            <w:shd w:val="clear" w:color="auto" w:fill="auto"/>
            <w:noWrap/>
            <w:vAlign w:val="center"/>
            <w:hideMark/>
          </w:tcPr>
          <w:p w14:paraId="7F6F1E0B"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 </w:t>
            </w:r>
          </w:p>
        </w:tc>
        <w:tc>
          <w:tcPr>
            <w:tcW w:w="391" w:type="pct"/>
            <w:tcBorders>
              <w:top w:val="nil"/>
              <w:left w:val="nil"/>
              <w:bottom w:val="single" w:sz="4" w:space="0" w:color="auto"/>
              <w:right w:val="single" w:sz="4" w:space="0" w:color="auto"/>
            </w:tcBorders>
            <w:shd w:val="clear" w:color="auto" w:fill="auto"/>
            <w:noWrap/>
            <w:vAlign w:val="center"/>
            <w:hideMark/>
          </w:tcPr>
          <w:p w14:paraId="64E09364" w14:textId="77777777" w:rsidR="002325C7" w:rsidRPr="007B405D" w:rsidRDefault="002325C7" w:rsidP="006941E8">
            <w:pPr>
              <w:jc w:val="center"/>
              <w:rPr>
                <w:bCs/>
                <w:iCs/>
                <w:color w:val="000000"/>
                <w:sz w:val="22"/>
                <w:szCs w:val="22"/>
                <w:lang w:eastAsia="zh-CN"/>
              </w:rPr>
            </w:pPr>
            <w:r w:rsidRPr="007B405D">
              <w:rPr>
                <w:bCs/>
                <w:iCs/>
                <w:color w:val="000000"/>
                <w:sz w:val="22"/>
                <w:szCs w:val="22"/>
                <w:lang w:eastAsia="zh-CN"/>
              </w:rPr>
              <w:t> </w:t>
            </w:r>
          </w:p>
        </w:tc>
      </w:tr>
    </w:tbl>
    <w:p w14:paraId="451BDD4B" w14:textId="77777777" w:rsidR="002325C7" w:rsidRPr="001D7F86" w:rsidRDefault="002325C7" w:rsidP="002325C7">
      <w:pPr>
        <w:rPr>
          <w:iCs/>
          <w:szCs w:val="26"/>
          <w:lang w:val="de-DE"/>
        </w:rPr>
      </w:pPr>
    </w:p>
    <w:p w14:paraId="59054DF4" w14:textId="77777777" w:rsidR="006B03AC" w:rsidRDefault="006B03AC" w:rsidP="006B03AC">
      <w:pPr>
        <w:spacing w:line="312" w:lineRule="auto"/>
        <w:jc w:val="center"/>
        <w:rPr>
          <w:szCs w:val="26"/>
        </w:rPr>
      </w:pPr>
    </w:p>
    <w:p w14:paraId="3B8C5CF6" w14:textId="77777777" w:rsidR="006B03AC" w:rsidRPr="00E56AEB" w:rsidRDefault="006B03AC" w:rsidP="00E56AEB">
      <w:pPr>
        <w:spacing w:line="312" w:lineRule="auto"/>
        <w:jc w:val="both"/>
        <w:rPr>
          <w:rFonts w:eastAsia="Calibri"/>
          <w:bCs/>
          <w:color w:val="FF0000"/>
          <w:sz w:val="26"/>
          <w:szCs w:val="26"/>
          <w:lang w:eastAsia="vi-VN"/>
        </w:rPr>
      </w:pPr>
      <w:r w:rsidRPr="00E56AEB">
        <w:rPr>
          <w:sz w:val="26"/>
          <w:szCs w:val="26"/>
        </w:rPr>
        <w:t>-</w:t>
      </w:r>
      <w:r w:rsidRPr="00E56AEB">
        <w:rPr>
          <w:i/>
          <w:sz w:val="26"/>
          <w:szCs w:val="26"/>
        </w:rPr>
        <w:t xml:space="preserve"> </w:t>
      </w:r>
      <w:r w:rsidRPr="00E56AEB">
        <w:rPr>
          <w:rFonts w:eastAsia="Calibri"/>
          <w:bCs/>
          <w:i/>
          <w:sz w:val="26"/>
          <w:szCs w:val="26"/>
          <w:lang w:eastAsia="vi-VN"/>
        </w:rPr>
        <w:t xml:space="preserve">Một số kết quả hoạt động hỗ trợ khởi nghiệp học sinh, sinh viên giai đoạn 2022-2024 </w:t>
      </w:r>
    </w:p>
    <w:p w14:paraId="12D7229C" w14:textId="77777777" w:rsidR="006B03AC" w:rsidRPr="00E56AEB" w:rsidRDefault="006B03AC" w:rsidP="00E56AEB">
      <w:pPr>
        <w:spacing w:line="312" w:lineRule="auto"/>
        <w:ind w:firstLine="720"/>
        <w:jc w:val="both"/>
        <w:rPr>
          <w:rFonts w:eastAsia="Calibri"/>
          <w:bCs/>
          <w:sz w:val="26"/>
          <w:szCs w:val="26"/>
          <w:lang w:eastAsia="vi-VN"/>
        </w:rPr>
      </w:pPr>
      <w:r w:rsidRPr="00E56AEB">
        <w:rPr>
          <w:rFonts w:eastAsia="Calibri"/>
          <w:bCs/>
          <w:sz w:val="26"/>
          <w:szCs w:val="26"/>
          <w:lang w:eastAsia="vi-VN"/>
        </w:rPr>
        <w:t>Thực hiện các Nghị quyết của Đảng ủy – Hội đồng Học viện, hoạt động về khởi nghiệp, đổi mới sáng tạo của Học viện Nông nghiệp Việt Nam được triển khai đến các đối tượng học sinh, sinh viên, thanh niên trong cả nước thông qua việc tổ chức các hoạt động mang tính thường niên như: Cuộc thi Khởi nghiệp nông nghiệp đổi mới sáng tạo, Cuộc thi Kiến thức công nghệ và khởi nghiệp sáng tạo VNUA, Cuộc thi Ý tưởng khoa học/khởi nghiệp trong học sinh THPT, Hội thảo Hành trình Khởi nghiệp từ THPT...</w:t>
      </w:r>
    </w:p>
    <w:p w14:paraId="62577AF5" w14:textId="77777777" w:rsidR="006B03AC" w:rsidRPr="00E56AEB" w:rsidRDefault="006B03AC" w:rsidP="006B03AC">
      <w:pPr>
        <w:spacing w:line="312" w:lineRule="auto"/>
        <w:jc w:val="both"/>
        <w:rPr>
          <w:rFonts w:eastAsia="Calibri"/>
          <w:bCs/>
          <w:sz w:val="26"/>
          <w:szCs w:val="26"/>
          <w:lang w:eastAsia="vi-VN"/>
        </w:rPr>
      </w:pPr>
      <w:r w:rsidRPr="00E56AEB">
        <w:rPr>
          <w:rFonts w:eastAsia="Calibri"/>
          <w:bCs/>
          <w:sz w:val="26"/>
          <w:szCs w:val="26"/>
          <w:lang w:eastAsia="vi-VN"/>
        </w:rPr>
        <w:t>Sau đây là số liệu cụ thể về các hoạt động đã được triển khai giai đoạn 2022-2024 như sau:</w:t>
      </w:r>
    </w:p>
    <w:p w14:paraId="5115035C" w14:textId="77777777" w:rsidR="006B03AC" w:rsidRPr="00E56AEB" w:rsidRDefault="006B03AC" w:rsidP="006B03AC">
      <w:pPr>
        <w:spacing w:line="312" w:lineRule="auto"/>
        <w:ind w:firstLine="720"/>
        <w:jc w:val="both"/>
        <w:rPr>
          <w:rFonts w:eastAsia="Calibri"/>
          <w:bCs/>
          <w:sz w:val="26"/>
          <w:szCs w:val="26"/>
          <w:lang w:eastAsia="vi-VN"/>
        </w:rPr>
      </w:pPr>
      <w:r w:rsidRPr="00E56AEB">
        <w:rPr>
          <w:rFonts w:eastAsia="Calibri"/>
          <w:bCs/>
          <w:sz w:val="26"/>
          <w:szCs w:val="26"/>
          <w:lang w:eastAsia="vi-VN"/>
        </w:rPr>
        <w:t>+Tổ chức các cuộc thi Cuộc thi Khởi nghiệp nông nghiệp đổi mới sáng tạo (được tổ chức từ năm 2014 đến nay): Số lượng Cuộc thi (2022-2024): 02; Số dự án tham gia: 300 dự án; Số lượng đơn vị tham dự (Trường THCS, THPT, ĐH-CĐ, Tỉnh/Thành đoàn): 100 đơn vị.</w:t>
      </w:r>
    </w:p>
    <w:p w14:paraId="2E2ED204" w14:textId="77777777" w:rsidR="006B03AC" w:rsidRPr="00E56AEB" w:rsidRDefault="006B03AC" w:rsidP="006B03AC">
      <w:pPr>
        <w:spacing w:line="312" w:lineRule="auto"/>
        <w:jc w:val="both"/>
        <w:rPr>
          <w:rFonts w:eastAsia="Calibri"/>
          <w:bCs/>
          <w:sz w:val="26"/>
          <w:szCs w:val="26"/>
          <w:lang w:eastAsia="vi-VN"/>
        </w:rPr>
      </w:pPr>
      <w:r w:rsidRPr="00E56AEB">
        <w:rPr>
          <w:rFonts w:eastAsia="Calibri"/>
          <w:bCs/>
          <w:sz w:val="26"/>
          <w:szCs w:val="26"/>
          <w:lang w:eastAsia="vi-VN"/>
        </w:rPr>
        <w:tab/>
        <w:t>Học viện đã đạt danh hiệu Trường học tiêu biểu xây dựng Hệ sinh thái khởi nghiệp năm 2023 do Liên đoàn Thương mại và Công nghiệp Việt Nam (VCCI) chứng nhận.</w:t>
      </w:r>
    </w:p>
    <w:p w14:paraId="553BA504" w14:textId="77777777" w:rsidR="006B03AC" w:rsidRPr="00E56AEB" w:rsidRDefault="006B03AC" w:rsidP="006B03AC">
      <w:pPr>
        <w:spacing w:line="312" w:lineRule="auto"/>
        <w:ind w:firstLine="720"/>
        <w:jc w:val="both"/>
        <w:rPr>
          <w:rFonts w:eastAsia="Calibri"/>
          <w:bCs/>
          <w:sz w:val="26"/>
          <w:szCs w:val="26"/>
          <w:lang w:eastAsia="vi-VN"/>
        </w:rPr>
      </w:pPr>
      <w:r w:rsidRPr="00E56AEB">
        <w:rPr>
          <w:rFonts w:eastAsia="Calibri"/>
          <w:bCs/>
          <w:sz w:val="26"/>
          <w:szCs w:val="26"/>
          <w:lang w:eastAsia="vi-VN"/>
        </w:rPr>
        <w:t>+ Cuộc thi kiến thức công nghệ và khởi nghiệp sáng tạo VNUA được tổ chức từ năm 2023 đến nay: Số trường THPT tham gia (trực tiếp và trực tuyến): 500 trường; Số học sinh tham dự (trực tiếp và trực tuyến): 6000 học sinh.</w:t>
      </w:r>
    </w:p>
    <w:p w14:paraId="6C3661D1" w14:textId="77777777" w:rsidR="006B03AC" w:rsidRPr="00E56AEB" w:rsidRDefault="006B03AC" w:rsidP="006B03AC">
      <w:pPr>
        <w:spacing w:line="312" w:lineRule="auto"/>
        <w:ind w:firstLine="720"/>
        <w:jc w:val="both"/>
        <w:rPr>
          <w:rFonts w:eastAsia="Calibri"/>
          <w:bCs/>
          <w:sz w:val="26"/>
          <w:szCs w:val="26"/>
          <w:lang w:eastAsia="vi-VN"/>
        </w:rPr>
      </w:pPr>
      <w:r w:rsidRPr="00E56AEB">
        <w:rPr>
          <w:rFonts w:eastAsia="Calibri"/>
          <w:bCs/>
          <w:sz w:val="26"/>
          <w:szCs w:val="26"/>
          <w:lang w:eastAsia="vi-VN"/>
        </w:rPr>
        <w:t>+ Cuộc thi Ý tưởng khoa học/khởi nghiệp trong học sinh THPT được tổ chức từ năm 2023 đến nay: Số tỉnh, thành phố tham gia: 11; Số ý tưởng tham gia: &gt; 300; Số học sinh tham dự: &gt; 500 học sinh.</w:t>
      </w:r>
    </w:p>
    <w:p w14:paraId="7D53872F" w14:textId="77777777" w:rsidR="006B03AC" w:rsidRPr="00E56AEB" w:rsidRDefault="006B03AC" w:rsidP="006B03AC">
      <w:pPr>
        <w:spacing w:line="312" w:lineRule="auto"/>
        <w:ind w:firstLine="720"/>
        <w:jc w:val="both"/>
        <w:rPr>
          <w:rFonts w:eastAsia="Calibri"/>
          <w:bCs/>
          <w:sz w:val="26"/>
          <w:szCs w:val="26"/>
          <w:lang w:eastAsia="vi-VN"/>
        </w:rPr>
      </w:pPr>
      <w:r w:rsidRPr="00E56AEB">
        <w:rPr>
          <w:rFonts w:eastAsia="Calibri"/>
          <w:bCs/>
          <w:sz w:val="26"/>
          <w:szCs w:val="26"/>
          <w:lang w:eastAsia="vi-VN"/>
        </w:rPr>
        <w:t>+ Hội thảo Hành trình Khởi nghiệp từ THPT được tổ chức từ năm 2023 đến nay: Số tỉnh, thành phố tham gia: 26 tỉnh; Số lượng Hội thảo: 43 hội thảo; Số trường THPT tham gia (trực tiếp và trực tuyến): 1000 trường; Số học sinh tham dự (trực tiếp và trực tuyến): 200.000 học sinh.</w:t>
      </w:r>
    </w:p>
    <w:p w14:paraId="08760473" w14:textId="77777777" w:rsidR="002325C7" w:rsidRDefault="006B03AC" w:rsidP="00A4029E">
      <w:pPr>
        <w:spacing w:line="312" w:lineRule="auto"/>
        <w:ind w:firstLine="720"/>
        <w:jc w:val="both"/>
        <w:rPr>
          <w:rFonts w:eastAsia="Calibri"/>
          <w:bCs/>
          <w:sz w:val="26"/>
          <w:szCs w:val="26"/>
          <w:lang w:eastAsia="vi-VN"/>
        </w:rPr>
      </w:pPr>
      <w:r w:rsidRPr="00E56AEB">
        <w:rPr>
          <w:rFonts w:eastAsia="Calibri"/>
          <w:bCs/>
          <w:sz w:val="26"/>
          <w:szCs w:val="26"/>
          <w:lang w:eastAsia="vi-VN"/>
        </w:rPr>
        <w:lastRenderedPageBreak/>
        <w:t>+ Một số hoạt động hỗ trợ khởi nghiệp khác: Tổ chức các khóa đào tạo, bồi dưỡng kỹ năng khởi nghiệp, lập nghiệp cho sinh viên hộ nghèo, hộ cận nghèo, mới thoát nghèo năm 2023 (Số lớp: 04; Số học viên tham dự: 180</w:t>
      </w:r>
      <w:r w:rsidR="00A4029E" w:rsidRPr="00E56AEB">
        <w:rPr>
          <w:rFonts w:eastAsia="Calibri"/>
          <w:bCs/>
          <w:sz w:val="26"/>
          <w:szCs w:val="26"/>
          <w:lang w:eastAsia="vi-VN"/>
        </w:rPr>
        <w:t xml:space="preserve"> người).</w:t>
      </w:r>
    </w:p>
    <w:p w14:paraId="32955252" w14:textId="77777777" w:rsidR="007B571A" w:rsidRPr="007B571A" w:rsidRDefault="007B571A" w:rsidP="007B571A">
      <w:pPr>
        <w:widowControl w:val="0"/>
        <w:spacing w:before="60" w:after="60" w:line="420" w:lineRule="exact"/>
        <w:ind w:firstLine="567"/>
        <w:contextualSpacing/>
        <w:jc w:val="both"/>
        <w:rPr>
          <w:i/>
          <w:color w:val="000000" w:themeColor="text1"/>
          <w:sz w:val="26"/>
          <w:szCs w:val="26"/>
        </w:rPr>
      </w:pPr>
      <w:r w:rsidRPr="007B571A">
        <w:rPr>
          <w:rFonts w:eastAsia="Calibri"/>
          <w:bCs/>
          <w:i/>
          <w:sz w:val="26"/>
          <w:szCs w:val="26"/>
          <w:lang w:eastAsia="vi-VN"/>
        </w:rPr>
        <w:t xml:space="preserve">- </w:t>
      </w:r>
      <w:r w:rsidRPr="007B571A">
        <w:rPr>
          <w:i/>
          <w:color w:val="000000" w:themeColor="text1"/>
          <w:sz w:val="26"/>
          <w:szCs w:val="26"/>
        </w:rPr>
        <w:t>Kết quả nghiên cứu khoa học, chuyển giao công nghệ và đổi mới sáng tạo</w:t>
      </w:r>
    </w:p>
    <w:p w14:paraId="2583E384" w14:textId="77777777" w:rsidR="007B571A" w:rsidRPr="00435609" w:rsidRDefault="007B571A" w:rsidP="007B571A">
      <w:pPr>
        <w:widowControl w:val="0"/>
        <w:spacing w:before="60" w:after="60" w:line="420" w:lineRule="exact"/>
        <w:ind w:firstLine="567"/>
        <w:contextualSpacing/>
        <w:jc w:val="both"/>
        <w:rPr>
          <w:bCs/>
          <w:color w:val="000000"/>
          <w:sz w:val="26"/>
          <w:szCs w:val="26"/>
        </w:rPr>
      </w:pPr>
      <w:r>
        <w:rPr>
          <w:bCs/>
          <w:color w:val="000000" w:themeColor="text1"/>
          <w:sz w:val="26"/>
          <w:szCs w:val="26"/>
        </w:rPr>
        <w:t xml:space="preserve">+ </w:t>
      </w:r>
      <w:r w:rsidRPr="007B571A">
        <w:rPr>
          <w:bCs/>
          <w:color w:val="000000" w:themeColor="text1"/>
          <w:sz w:val="26"/>
          <w:szCs w:val="26"/>
        </w:rPr>
        <w:t>Giai đoạn 2022</w:t>
      </w:r>
      <w:r w:rsidRPr="007B571A">
        <w:rPr>
          <w:bCs/>
          <w:color w:val="003399"/>
          <w:sz w:val="26"/>
          <w:szCs w:val="26"/>
        </w:rPr>
        <w:t>-2024, Học viện tổ chức triển khai thực hiện 11 nhiệm vụ KHCN cấp quốc gia, 44 nhiệm vụ KHCN cấp Bộ</w:t>
      </w:r>
      <w:r w:rsidRPr="007B571A">
        <w:rPr>
          <w:bCs/>
          <w:color w:val="000000" w:themeColor="text1"/>
          <w:sz w:val="26"/>
          <w:szCs w:val="26"/>
        </w:rPr>
        <w:t xml:space="preserve"> (gồm 14 TCVN), 39 nhiệm vụ KHCN cấp tỉnh; 230 đề tài cấp Học viện, 218 đề tài sinh viên nghiên cứu khoa học. </w:t>
      </w:r>
      <w:r w:rsidRPr="00435609">
        <w:rPr>
          <w:bCs/>
          <w:color w:val="000000"/>
          <w:sz w:val="26"/>
          <w:szCs w:val="26"/>
        </w:rPr>
        <w:t xml:space="preserve">Các nhiệm vụ KH&amp;CN do Học viện chủ trì tiếp tục tập trung nghiên cứu nhằm thúc phát triển liên kết sản xuất theo chuỗi giá trị để nâng cao chất lượng, giá trị và sức cạnh tranh sản phẩm, phục vụ phát triển công nghiệp chế biến, tận dụng lợi thế thương mại, cơ hội của cuộc Cách mạng công nghiệp lần thứ tư, </w:t>
      </w:r>
      <w:r w:rsidRPr="007B571A">
        <w:rPr>
          <w:sz w:val="26"/>
          <w:szCs w:val="26"/>
          <w:lang w:val="es-MX"/>
        </w:rPr>
        <w:t xml:space="preserve">phát triển nông nghiệp tuần hoàn, nông nghiệp thông minh, nông nghiệp số, nông nghiệp chia sẻ, </w:t>
      </w:r>
      <w:r w:rsidRPr="00435609">
        <w:rPr>
          <w:bCs/>
          <w:color w:val="000000"/>
          <w:sz w:val="26"/>
          <w:szCs w:val="26"/>
        </w:rPr>
        <w:t>giảm phát thải khí nhà kính</w:t>
      </w:r>
      <w:r w:rsidRPr="007B571A">
        <w:rPr>
          <w:sz w:val="26"/>
          <w:szCs w:val="26"/>
          <w:lang w:val="es-MX"/>
        </w:rPr>
        <w:t xml:space="preserve"> ….như: Ứng dụng công nghệ của công nghiệp 4.0 (Blockchain, IoT, AI) trong việc quản lý sản xuất mật ong</w:t>
      </w:r>
      <w:r w:rsidRPr="00435609">
        <w:rPr>
          <w:bCs/>
          <w:color w:val="000000"/>
          <w:sz w:val="26"/>
          <w:szCs w:val="26"/>
        </w:rPr>
        <w:t>;</w:t>
      </w:r>
      <w:r w:rsidRPr="007B571A">
        <w:rPr>
          <w:color w:val="000000" w:themeColor="text1"/>
          <w:sz w:val="26"/>
          <w:szCs w:val="26"/>
        </w:rPr>
        <w:t xml:space="preserve"> nghiên cứu công nghệ phân giải histamine trong nước mắm truyền thống; tạo</w:t>
      </w:r>
      <w:r w:rsidRPr="00435609">
        <w:rPr>
          <w:bCs/>
          <w:color w:val="000000"/>
          <w:sz w:val="26"/>
          <w:szCs w:val="26"/>
        </w:rPr>
        <w:t xml:space="preserve"> chế phẩm sinh học, chế phẩm thảo dược ứng dụng trong trồng trọt, chăn nuôi, thú y, thuỷ sản (chế phẩm xử lý môi trường, chế phẩm kiểm soát bệnh Panama hại chuối, </w:t>
      </w:r>
      <w:r w:rsidRPr="007B571A">
        <w:rPr>
          <w:color w:val="000000" w:themeColor="text1"/>
          <w:sz w:val="26"/>
          <w:szCs w:val="26"/>
        </w:rPr>
        <w:t>chế phẩm thảo dược phòng trị bệnh tiêu chảy ở gà, lợn...).</w:t>
      </w:r>
    </w:p>
    <w:p w14:paraId="4FBBFC9E" w14:textId="77777777" w:rsidR="007B571A" w:rsidRPr="007B571A" w:rsidRDefault="007B571A" w:rsidP="007B571A">
      <w:pPr>
        <w:widowControl w:val="0"/>
        <w:spacing w:before="60" w:after="60" w:line="420" w:lineRule="exact"/>
        <w:ind w:firstLine="720"/>
        <w:contextualSpacing/>
        <w:jc w:val="both"/>
        <w:rPr>
          <w:sz w:val="26"/>
          <w:szCs w:val="26"/>
          <w:lang w:val="de-DE"/>
        </w:rPr>
      </w:pPr>
      <w:r>
        <w:rPr>
          <w:sz w:val="26"/>
          <w:szCs w:val="26"/>
          <w:lang w:val="de-DE"/>
        </w:rPr>
        <w:t xml:space="preserve">+ </w:t>
      </w:r>
      <w:r w:rsidRPr="007B571A">
        <w:rPr>
          <w:sz w:val="26"/>
          <w:szCs w:val="26"/>
          <w:lang w:val="de-DE"/>
        </w:rPr>
        <w:t>Bên cạnh việc nghiên cứu tạo ra các sản phẩm khoa học phục vụ đời sống và sản xuất, các nhiệm vụ KH&amp;CN cấp Quốc gia, cấp Bộ còn góp phần tích cực trong công tác đào tạo nguồn nhân lực chất lượng cao đáp ứng yêu cầu ứng dụng thành tựu của cuộc cách mạng công nghiệp 4.0. Bình quân mỗi đề tài KHCN cấp Quốc gia, cấp Bộ, cấp tỉnh góp phần đào tạo 5-7 học viên cao học, sinh viên đại học, tập huấn kỹ thuật cho hàng trăm cán bộ kỹ thuật, người sản xuất</w:t>
      </w:r>
    </w:p>
    <w:p w14:paraId="79D7260B" w14:textId="77777777" w:rsidR="007B571A" w:rsidRPr="007B571A" w:rsidRDefault="007B571A" w:rsidP="007B571A">
      <w:pPr>
        <w:widowControl w:val="0"/>
        <w:spacing w:before="60" w:after="60" w:line="420" w:lineRule="exact"/>
        <w:ind w:firstLine="720"/>
        <w:contextualSpacing/>
        <w:jc w:val="both"/>
        <w:rPr>
          <w:sz w:val="26"/>
          <w:szCs w:val="26"/>
          <w:lang w:val="de-DE"/>
        </w:rPr>
      </w:pPr>
      <w:r>
        <w:rPr>
          <w:color w:val="000000" w:themeColor="text1"/>
          <w:sz w:val="26"/>
          <w:szCs w:val="26"/>
          <w:lang w:val="de-DE"/>
        </w:rPr>
        <w:t xml:space="preserve">+ </w:t>
      </w:r>
      <w:r w:rsidRPr="007B571A">
        <w:rPr>
          <w:color w:val="000000" w:themeColor="text1"/>
          <w:sz w:val="26"/>
          <w:szCs w:val="26"/>
          <w:lang w:val="de-DE"/>
        </w:rPr>
        <w:t xml:space="preserve">Nhằm xác định nhu cầu về công nghệ, phát triển nguồn nhân lực chất lượng cao và tăng cường hợp tác với các địa phương, doanh nghiệp trong nghiên cứu khoa học và chuyển giao công nghệ lĩnh vực nông nghiệp và PTNT, quý I năm 2023, Học viện Nông nghiệp Việt Nam đã phối hợp 23 các tỉnh/thành phố tổ chức 05 hội nghị “Học viện Nông nghiệp Việt Nam đồng hành cùng doanh nghiệp, hợp tác xã, người nông dân vì một nền nông nghiệp xanh, sạch, an toàn” với các chủ đề về nghiên cứu khoa học, chuyển giao công nghệ, đào tạo nguồn nhân lực thời đại 4.0. Hội nghị cũng góp phần tăng cường hợp tác, kết nối giữa “các nhà” trong nghiên cứu và sản xuất đáp ứng yêu cầu của địa phương, doanh nghiệp. </w:t>
      </w:r>
    </w:p>
    <w:p w14:paraId="4DDB5C5F" w14:textId="77777777" w:rsidR="007B571A" w:rsidRPr="007B571A" w:rsidRDefault="007B571A" w:rsidP="007B571A">
      <w:pPr>
        <w:widowControl w:val="0"/>
        <w:spacing w:before="60" w:after="60" w:line="420" w:lineRule="exact"/>
        <w:ind w:firstLine="720"/>
        <w:contextualSpacing/>
        <w:jc w:val="both"/>
        <w:rPr>
          <w:color w:val="000000" w:themeColor="text1"/>
          <w:sz w:val="26"/>
          <w:szCs w:val="26"/>
          <w:lang w:val="de-DE"/>
        </w:rPr>
      </w:pPr>
      <w:r>
        <w:rPr>
          <w:color w:val="000000" w:themeColor="text1"/>
          <w:sz w:val="26"/>
          <w:szCs w:val="26"/>
          <w:lang w:val="de-DE"/>
        </w:rPr>
        <w:t xml:space="preserve">+ </w:t>
      </w:r>
      <w:r w:rsidRPr="007B571A">
        <w:rPr>
          <w:color w:val="000000" w:themeColor="text1"/>
          <w:sz w:val="26"/>
          <w:szCs w:val="26"/>
          <w:lang w:val="de-DE"/>
        </w:rPr>
        <w:t xml:space="preserve">Học viện tiếp tục thực hiện hợp tác với các tập đoàn, công ty như: Tập đoàn Trung Nam, Tập đoàn Orion, Công ty Lupin Platform, Tập đoàn Kamichiku - Nhật Bản </w:t>
      </w:r>
      <w:r w:rsidRPr="007B571A">
        <w:rPr>
          <w:color w:val="000000" w:themeColor="text1"/>
          <w:sz w:val="26"/>
          <w:szCs w:val="26"/>
          <w:lang w:val="de-DE"/>
        </w:rPr>
        <w:lastRenderedPageBreak/>
        <w:t>tại Việt Nam … để triển khai các nhiệm vụ nghiên cứu ứng dụng, đổi mới công nghệ, phát triển chuỗi giá trị sản phẩm nhằm góp phần thúc đẩy phát triển kinh tế - xã hội, phát triển nông nghiệp bền vững như: Nghiên cứu phát triển trồng trọt, chăn nuôi dưới hệ thống pin mặt trời tại Ninh Thuận; phát triển mở rộng mô hình sản xuất khoai tây gắn với tiêu thụ, chế biến; hợp tác nghiên cứu và chuyển giao công nghệ film sinh học tự hủy; Hợp tác kỹ thuật để nâng cao năng suất, chất lượng thịt bò Việt Nam và nhân rộng, chuyển giao công nghệ cho các doanh nghiệp, địa phương trên toàn quốc; hợp tác sản xuất thức ăn cho gia súc; hợp tác thương mại hóa chuỗi giá trị thịt bò theo mô hình sản xuất khép kín từ “trang trại đến bàn ăn”...</w:t>
      </w:r>
    </w:p>
    <w:p w14:paraId="73738366" w14:textId="77777777" w:rsidR="007B571A" w:rsidRPr="007B571A" w:rsidRDefault="007B571A" w:rsidP="007B571A">
      <w:pPr>
        <w:widowControl w:val="0"/>
        <w:spacing w:before="60" w:after="60" w:line="420" w:lineRule="exact"/>
        <w:ind w:firstLine="720"/>
        <w:contextualSpacing/>
        <w:jc w:val="both"/>
        <w:rPr>
          <w:color w:val="000000" w:themeColor="text1"/>
          <w:sz w:val="26"/>
          <w:szCs w:val="26"/>
          <w:lang w:val="de-DE"/>
        </w:rPr>
      </w:pPr>
      <w:r>
        <w:rPr>
          <w:color w:val="000000" w:themeColor="text1"/>
          <w:sz w:val="26"/>
          <w:szCs w:val="26"/>
          <w:lang w:val="de-DE"/>
        </w:rPr>
        <w:t xml:space="preserve">+ </w:t>
      </w:r>
      <w:r w:rsidRPr="007B571A">
        <w:rPr>
          <w:color w:val="000000" w:themeColor="text1"/>
          <w:sz w:val="26"/>
          <w:szCs w:val="26"/>
          <w:lang w:val="de-DE"/>
        </w:rPr>
        <w:t>Giai đoạn 2022-2024, Học viện có 28 sản phẩm khoa học công nghệ được đăng ký sở hữu trí tuệ, công nhận tiến bộ kỹ thuật trong nông nghiệp gồm: 01 bằng độc quyền sáng chế, 06 bằng bảo hộ giống cây trồng, 14 giống cây trồng; 05 tiến bộ kỹ thuật; 02 giống vật nuôi; 03 máy nông nghiệp,... và rất nhiều sản phẩm triển vọng như: Các tổ hợp triển vọng ngô siêu ngọt SSW18; ngô trái cây FC161, FC888, FC83; công thức phân bón chuyên dùng cho cam, bưởi, thanh long tại các vùng trồng chính; công nghệ sản xuất thức ăn bổ sung hỗ trợ miễn dịch cho gà, vịt và lợn (Ig1 Duck RAECSA, Ig1 Duck REPATEM, Ig1 Chicken SAECO, Ig1 Pig HMMP, Ig1 Pig ASPP, Probiozyme Oral…).</w:t>
      </w:r>
    </w:p>
    <w:p w14:paraId="3184C68F" w14:textId="77777777" w:rsidR="007B571A" w:rsidRPr="007B571A" w:rsidRDefault="007B571A" w:rsidP="007B571A">
      <w:pPr>
        <w:widowControl w:val="0"/>
        <w:spacing w:before="60" w:after="60" w:line="420" w:lineRule="exact"/>
        <w:ind w:firstLine="720"/>
        <w:contextualSpacing/>
        <w:jc w:val="both"/>
        <w:rPr>
          <w:color w:val="000000" w:themeColor="text1"/>
          <w:sz w:val="26"/>
          <w:szCs w:val="26"/>
          <w:lang w:val="de-DE"/>
        </w:rPr>
      </w:pPr>
      <w:r w:rsidRPr="007B571A">
        <w:rPr>
          <w:color w:val="000000" w:themeColor="text1"/>
          <w:sz w:val="26"/>
          <w:szCs w:val="26"/>
          <w:lang w:val="de-DE"/>
        </w:rPr>
        <w:t xml:space="preserve"> </w:t>
      </w:r>
      <w:r>
        <w:rPr>
          <w:color w:val="000000" w:themeColor="text1"/>
          <w:sz w:val="26"/>
          <w:szCs w:val="26"/>
          <w:lang w:val="de-DE"/>
        </w:rPr>
        <w:t xml:space="preserve">+ </w:t>
      </w:r>
      <w:r w:rsidRPr="007B571A">
        <w:rPr>
          <w:color w:val="000000" w:themeColor="text1"/>
          <w:sz w:val="26"/>
          <w:szCs w:val="26"/>
          <w:lang w:val="de-DE"/>
        </w:rPr>
        <w:t xml:space="preserve">Bên cạnh đó, để đóng góp các kết quả nghiên cứu vào kho tàng tri thức của nhân loại, hàng năm Học viện công bố khoảng 400 bài báo trong nước; 250 bài báo trên tạp chí khoa học quốc tế, trong đó trên 70% số bài báo quốc tế thuộc danh mục WoS/Scopus. </w:t>
      </w:r>
    </w:p>
    <w:p w14:paraId="4DC22202" w14:textId="77777777" w:rsidR="007B571A" w:rsidRPr="007B571A" w:rsidRDefault="007B571A" w:rsidP="007B571A">
      <w:pPr>
        <w:widowControl w:val="0"/>
        <w:spacing w:before="60" w:after="60" w:line="420" w:lineRule="exact"/>
        <w:ind w:firstLine="720"/>
        <w:contextualSpacing/>
        <w:jc w:val="both"/>
        <w:rPr>
          <w:color w:val="000000" w:themeColor="text1"/>
          <w:sz w:val="26"/>
          <w:szCs w:val="26"/>
          <w:lang w:val="de-DE"/>
        </w:rPr>
      </w:pPr>
      <w:r w:rsidRPr="00435609">
        <w:rPr>
          <w:color w:val="000000" w:themeColor="text1"/>
          <w:spacing w:val="-2"/>
          <w:sz w:val="26"/>
          <w:szCs w:val="26"/>
          <w:lang w:val="de-DE"/>
        </w:rPr>
        <w:t>+ Kết quả phát triển tiềm lực khoa học và công nghệ:</w:t>
      </w:r>
      <w:r w:rsidRPr="00435609">
        <w:rPr>
          <w:b/>
          <w:color w:val="000000" w:themeColor="text1"/>
          <w:spacing w:val="-2"/>
          <w:sz w:val="26"/>
          <w:szCs w:val="26"/>
          <w:lang w:val="de-DE"/>
        </w:rPr>
        <w:t xml:space="preserve"> </w:t>
      </w:r>
      <w:r w:rsidRPr="00435609">
        <w:rPr>
          <w:color w:val="000000" w:themeColor="text1"/>
          <w:sz w:val="26"/>
          <w:szCs w:val="26"/>
          <w:lang w:val="de-DE"/>
        </w:rPr>
        <w:t xml:space="preserve">Hiện nay, Học viện có 82 mô hình khoa học công nghệ (đồng ruộng, nhà kính, nhà lưới, trang trại chăn nuôi có điều khiển tự động hoặc bán tự động, sơ chế, chế biến và bảo quản…) và 52 phòng thí nghiệm phục vụ nghiên cứu khoa học, ươm tạo và phát triển công nghệ, trong đó có 06 PTN đạt tiêu chuẩn ISO 17025:2005) có khả năng thử nghiệm, phân tích trên 700 chỉ tiêu trong lĩnh vực chăn nuôi, thú y, thủy sản, trồng trọt, môi trường, thực phẩm (PTN CNSH Thú y, PTN Trung tâm K.Chăn nuôi, PTN KH&amp;CN thực phẩm, PTN Môi trường, PTN Tăng trưởng xanh, PTN đánh giá chất lượng đất và phân bón. </w:t>
      </w:r>
    </w:p>
    <w:p w14:paraId="2B9F7A33" w14:textId="77777777" w:rsidR="007B571A" w:rsidRPr="007B571A" w:rsidRDefault="007B571A" w:rsidP="007B571A">
      <w:pPr>
        <w:pStyle w:val="NormalWeb"/>
        <w:widowControl w:val="0"/>
        <w:shd w:val="clear" w:color="auto" w:fill="FFFFFF"/>
        <w:spacing w:before="60" w:beforeAutospacing="0" w:after="60" w:afterAutospacing="0" w:line="420" w:lineRule="exact"/>
        <w:ind w:firstLine="567"/>
        <w:contextualSpacing/>
        <w:jc w:val="both"/>
        <w:textAlignment w:val="baseline"/>
        <w:rPr>
          <w:sz w:val="26"/>
          <w:szCs w:val="26"/>
          <w:lang w:val="de-DE"/>
        </w:rPr>
      </w:pPr>
      <w:r>
        <w:rPr>
          <w:sz w:val="26"/>
          <w:szCs w:val="26"/>
          <w:lang w:val="de-DE"/>
        </w:rPr>
        <w:t xml:space="preserve">+ </w:t>
      </w:r>
      <w:r w:rsidRPr="007B571A">
        <w:rPr>
          <w:sz w:val="26"/>
          <w:szCs w:val="26"/>
          <w:lang w:val="de-DE"/>
        </w:rPr>
        <w:t>Đặc biệt năm 2023, Học viện đã hoàn thành xây dựng Trung tâm NCXS&amp;ĐMST với 20 phòng nghiên cứu chuyên sâu trong lĩnh vực trồng trọt – BVTV; chăn nuôi, thú y, thủy sản; công nghệ thực phẩm; công nghệ sau thu hoạch; công nghệ môi trường để thực hiện nghiên cứu xuất sắc, thử nghiệm phục vụ xã hội</w:t>
      </w:r>
    </w:p>
    <w:p w14:paraId="201FB758" w14:textId="77777777" w:rsidR="007B571A" w:rsidRPr="00435609" w:rsidRDefault="0013511B" w:rsidP="007B571A">
      <w:pPr>
        <w:pStyle w:val="ListParagraph"/>
        <w:widowControl w:val="0"/>
        <w:spacing w:before="60" w:after="60" w:line="420" w:lineRule="exact"/>
        <w:ind w:left="0" w:firstLine="720"/>
        <w:jc w:val="both"/>
        <w:rPr>
          <w:rFonts w:ascii="Times New Roman" w:hAnsi="Times New Roman" w:cs="Times New Roman"/>
          <w:color w:val="000000" w:themeColor="text1"/>
          <w:sz w:val="26"/>
          <w:szCs w:val="26"/>
          <w:lang w:val="de-DE"/>
        </w:rPr>
      </w:pPr>
      <w:r>
        <w:rPr>
          <w:rFonts w:ascii="Times New Roman" w:eastAsia="Times New Roman" w:hAnsi="Times New Roman" w:cs="Times New Roman"/>
          <w:sz w:val="26"/>
          <w:szCs w:val="26"/>
          <w:lang w:val="de-DE"/>
        </w:rPr>
        <w:t xml:space="preserve">+ </w:t>
      </w:r>
      <w:r w:rsidR="007B571A" w:rsidRPr="007B571A">
        <w:rPr>
          <w:rFonts w:ascii="Times New Roman" w:eastAsia="Times New Roman" w:hAnsi="Times New Roman" w:cs="Times New Roman"/>
          <w:sz w:val="26"/>
          <w:szCs w:val="26"/>
          <w:lang w:val="de-DE"/>
        </w:rPr>
        <w:t xml:space="preserve">Giai đoạn 2022-2024, Học viện tiếp tục hỗ trợ kinh phí hoạt động cho có 35 </w:t>
      </w:r>
      <w:r w:rsidR="007B571A" w:rsidRPr="007B571A">
        <w:rPr>
          <w:rFonts w:ascii="Times New Roman" w:eastAsia="Times New Roman" w:hAnsi="Times New Roman" w:cs="Times New Roman"/>
          <w:sz w:val="26"/>
          <w:szCs w:val="26"/>
          <w:lang w:val="de-DE"/>
        </w:rPr>
        <w:lastRenderedPageBreak/>
        <w:t>nhóm nghiên cứu mạnh, 08 nhóm nghiên cứu xuất sắc và 03 nhóm nghiên cứu</w:t>
      </w:r>
      <w:r w:rsidR="007B571A" w:rsidRPr="00435609">
        <w:rPr>
          <w:rFonts w:ascii="Times New Roman" w:hAnsi="Times New Roman" w:cs="Times New Roman"/>
          <w:color w:val="000000" w:themeColor="text1"/>
          <w:sz w:val="26"/>
          <w:szCs w:val="26"/>
          <w:lang w:val="de-DE"/>
        </w:rPr>
        <w:t xml:space="preserve"> tinh hoa để nâng cao năng lực nghiên cứu khoa học và đào tạo của các nhà khoa học, tăng cường công bố quốc tế, thúc đẩy việc tạo ra các sản phẩm chất lượng cao đáp ứng và phục vụ nhu cầu xã hội. Bên cạnh việc hỗ trợ kinh phí hoạt động hàng năm cho các nhóm nghiên cứu, Học viện có nhiều chính sách thúc đẩy hiệu quả hoạt động của nhóm như: Hỗ trợ kinh phí vượt giờ nghiên cứu khoa học, khen thưởng công bố quốc tế, khen thưởng nhóm có sản phẩm được cấp bằng độc quyền sáng chế/giải pháp hữu ích, TBKT trong nông nghiệp.</w:t>
      </w:r>
    </w:p>
    <w:p w14:paraId="7BC96303" w14:textId="77777777" w:rsidR="00B07621" w:rsidRPr="00435609" w:rsidRDefault="00B07621" w:rsidP="00E22F1D">
      <w:pPr>
        <w:spacing w:before="60" w:after="60" w:line="420" w:lineRule="exact"/>
        <w:ind w:firstLine="720"/>
        <w:jc w:val="both"/>
        <w:rPr>
          <w:b/>
          <w:i/>
          <w:sz w:val="26"/>
          <w:szCs w:val="26"/>
          <w:shd w:val="clear" w:color="auto" w:fill="FFFFFF"/>
          <w:lang w:val="de-DE"/>
        </w:rPr>
      </w:pPr>
      <w:r w:rsidRPr="00435609">
        <w:rPr>
          <w:b/>
          <w:i/>
          <w:sz w:val="26"/>
          <w:szCs w:val="26"/>
          <w:shd w:val="clear" w:color="auto" w:fill="FFFFFF"/>
          <w:lang w:val="de-DE"/>
        </w:rPr>
        <w:t>g. Công tác đẩy mạnh tự chủ, đổi mới quản trị Nhà trường; sắp xết tổ chức bộ máy; đổi mới công tác tài chính; công tác quản lý tài sản của đơn vị; kết quả thực hiện các chính sách phục vụ đào tạo.</w:t>
      </w:r>
    </w:p>
    <w:p w14:paraId="77E86532" w14:textId="77777777" w:rsidR="00B07621" w:rsidRPr="00435609" w:rsidRDefault="00B07621" w:rsidP="00E22F1D">
      <w:pPr>
        <w:spacing w:before="60" w:after="60" w:line="420" w:lineRule="exact"/>
        <w:ind w:firstLine="720"/>
        <w:jc w:val="both"/>
        <w:rPr>
          <w:i/>
          <w:sz w:val="26"/>
          <w:szCs w:val="26"/>
          <w:shd w:val="clear" w:color="auto" w:fill="FFFFFF"/>
          <w:lang w:val="de-DE"/>
        </w:rPr>
      </w:pPr>
      <w:r w:rsidRPr="00435609">
        <w:rPr>
          <w:i/>
          <w:sz w:val="26"/>
          <w:szCs w:val="26"/>
          <w:shd w:val="clear" w:color="auto" w:fill="FFFFFF"/>
          <w:lang w:val="de-DE"/>
        </w:rPr>
        <w:t>- Về công tác đẩy mạnh tự chủ, đổi mới quản trị Nhà trường và sắp xếp tổ chức bộ máy:</w:t>
      </w:r>
    </w:p>
    <w:p w14:paraId="297F19CA" w14:textId="77777777" w:rsidR="00B07621" w:rsidRPr="00435609" w:rsidRDefault="00B07621" w:rsidP="00E22F1D">
      <w:pPr>
        <w:spacing w:before="60" w:after="60" w:line="420" w:lineRule="exact"/>
        <w:ind w:firstLine="720"/>
        <w:jc w:val="both"/>
        <w:rPr>
          <w:sz w:val="26"/>
          <w:szCs w:val="26"/>
          <w:shd w:val="clear" w:color="auto" w:fill="FFFFFF"/>
          <w:lang w:val="de-DE"/>
        </w:rPr>
      </w:pPr>
      <w:r w:rsidRPr="00435609">
        <w:rPr>
          <w:sz w:val="26"/>
          <w:szCs w:val="26"/>
          <w:shd w:val="clear" w:color="auto" w:fill="FFFFFF"/>
          <w:lang w:val="de-DE"/>
        </w:rPr>
        <w:t xml:space="preserve">Học viện đã thực hiện đầy đủ và nghiêm túc các quy định về việc tự chủ, đổi mới quản trị đại học, đặc biệt là Luật Giáo dục Đại học sửa đổi bổ sung năm 2018 (Luật số 34/QH13) và các văn bản hướng dẫn thực hiện Luật. Cụ thể, Học viện đã xây dựng và hoàn thiện các đề án, quy chế, quy định bảo đảm cho việc đổi mới công tác quản lý, quản trị nhà trường theo hướng tự chủ, chuyên nghiệp và hiện đại. Về cơ chế giám sát, Học viện thực hiện giám sát trên cơ sở Quy chế phối hợp công tác của Đảng ủy - Hội đồng Học viện - Giám đốc Học viện. Hội đồng Học viện quyết định chiến lược, định hướng phát triển, kế hoạch dài hạn, trung hạn của Học viện. Hội đồng Học viện giao Giám đốc căn cứ thực tiễn để chủ động tổ chức thực hiện tất cả các lĩnh vực công tác của Học viện. Học viện luôn tăng cường công tác thanh tra, kiểm tra hoạt động dạy và học, thực tập nghề nghiệp, kiểm tra các kỳ thi, hoạt động mở ngành, sử dụng trang thiết bị, quản lý đất đai và các hoạt động khác phục vụ đào tạo, NCKH. Công tác tiếp dân, giải quyết kiến nghị, phản ảnh khiếu nại, tố cáo, phòng, chống tham nhũng được thực hiện đúng quy định và kịp thời. Cơ cấu tổ chức được sắp xếp hợp lý, tinh gọn, trong đó nêu rõ nhiệm vụ chức năng của từng bộ phận và thực hiện định biên số lượng cán bộ, viên chức và người lao động cho từng bộ phận. </w:t>
      </w:r>
    </w:p>
    <w:p w14:paraId="0C0D2025" w14:textId="77777777" w:rsidR="00213348" w:rsidRDefault="00B07621" w:rsidP="00E22F1D">
      <w:pPr>
        <w:spacing w:before="60" w:after="60" w:line="420" w:lineRule="exact"/>
        <w:ind w:firstLine="720"/>
        <w:jc w:val="both"/>
        <w:rPr>
          <w:rStyle w:val="Bodytext2"/>
          <w:rFonts w:eastAsia="Arial Unicode MS"/>
          <w:sz w:val="26"/>
          <w:szCs w:val="26"/>
        </w:rPr>
      </w:pPr>
      <w:r w:rsidRPr="00E56AEB">
        <w:rPr>
          <w:rStyle w:val="Bodytext2"/>
          <w:rFonts w:eastAsia="Arial Unicode MS"/>
          <w:sz w:val="26"/>
          <w:szCs w:val="26"/>
        </w:rPr>
        <w:t>- Về đổi mới công tác tài chính, công tác quản lý tài sản của đơn vị</w:t>
      </w:r>
    </w:p>
    <w:p w14:paraId="6E96E309" w14:textId="77777777" w:rsidR="00B07621" w:rsidRPr="00435609" w:rsidRDefault="00B07621" w:rsidP="00E22F1D">
      <w:pPr>
        <w:spacing w:before="60" w:after="60" w:line="420" w:lineRule="exact"/>
        <w:ind w:firstLine="720"/>
        <w:jc w:val="both"/>
        <w:rPr>
          <w:sz w:val="26"/>
          <w:szCs w:val="26"/>
          <w:lang w:val="vi-VN"/>
        </w:rPr>
      </w:pPr>
      <w:r w:rsidRPr="00E56AEB">
        <w:rPr>
          <w:rStyle w:val="Bodytext2"/>
          <w:rFonts w:eastAsia="Arial Unicode MS"/>
          <w:sz w:val="26"/>
          <w:szCs w:val="26"/>
        </w:rPr>
        <w:t xml:space="preserve"> + Để đảm bảo tự chủ tài chính, Học viện đã tích cực thực hiện đa dạng hóa nguồn thu theo quy định tại Nghị định 60/2021/NĐ-CP như thu từ NSNN cấp; thu từ học phí và hoạt động đào tạo; thu từ hoạt động Khoa học và Công nghệ; thu từ hoạt động kinh </w:t>
      </w:r>
      <w:r w:rsidRPr="00E56AEB">
        <w:rPr>
          <w:rStyle w:val="Bodytext2"/>
          <w:rFonts w:eastAsia="Arial Unicode MS"/>
          <w:sz w:val="26"/>
          <w:szCs w:val="26"/>
        </w:rPr>
        <w:lastRenderedPageBreak/>
        <w:t xml:space="preserve">doanh, liên kết, dịch vụ phục vụ cộng đồng, đầu tư tài chính; thu từ các nguồn viện trợ, tài trợ từ các tổ chức, cá nhân trong và ngoài nước; và nguồn thu hợp pháp khác. </w:t>
      </w:r>
    </w:p>
    <w:p w14:paraId="2D90C7EE" w14:textId="77777777" w:rsidR="00B07621" w:rsidRPr="00E56AEB" w:rsidRDefault="00B07621" w:rsidP="00E22F1D">
      <w:pPr>
        <w:spacing w:before="60" w:after="60" w:line="420" w:lineRule="exact"/>
        <w:ind w:firstLine="720"/>
        <w:jc w:val="both"/>
        <w:rPr>
          <w:rStyle w:val="Bodytext2Italic"/>
          <w:rFonts w:eastAsia="Arial Unicode MS"/>
          <w:i w:val="0"/>
          <w:iCs w:val="0"/>
          <w:color w:val="auto"/>
          <w:sz w:val="26"/>
          <w:szCs w:val="26"/>
        </w:rPr>
      </w:pPr>
      <w:r w:rsidRPr="00435609">
        <w:rPr>
          <w:sz w:val="26"/>
          <w:szCs w:val="26"/>
          <w:lang w:val="vi-VN"/>
        </w:rPr>
        <w:t>+</w:t>
      </w:r>
      <w:r w:rsidRPr="00E56AEB">
        <w:rPr>
          <w:rStyle w:val="Bodytext2"/>
          <w:rFonts w:eastAsia="Arial Unicode MS"/>
          <w:sz w:val="26"/>
          <w:szCs w:val="26"/>
        </w:rPr>
        <w:t xml:space="preserve"> Xây dựng và triển khai các đề án nhằm nâng cao năng lực tự chủ tài chính, tài sản của Học viện: Trên cơ sở quy định của Luật quản lý, sử dụng tài sản công và các văn bản hướng dẫn thực hiện, Học viện đã xây dựng Đề án sử dụng tài sản công vào mục đích kinh doanh, cho thuê trình Bộ NN&amp;PTNT phê duyệt và đã triển khai thực hiện hiệu quả, đúng quy định của pháp luật, góp phần nâng cao chất lượng hoạt động đào tạo và nghiên cứu khoa học, tăng nguồn thu cho Học viện</w:t>
      </w:r>
      <w:r w:rsidRPr="00E56AEB">
        <w:rPr>
          <w:rStyle w:val="Bodytext2Italic"/>
          <w:rFonts w:eastAsia="Arial Unicode MS"/>
          <w:color w:val="auto"/>
          <w:sz w:val="26"/>
          <w:szCs w:val="26"/>
        </w:rPr>
        <w:t xml:space="preserve">. Hiện tại, Học viện đã xây dựng và trình Bộ phê duyệt Đề án </w:t>
      </w:r>
      <w:r w:rsidRPr="00E56AEB">
        <w:rPr>
          <w:rStyle w:val="Bodytext2"/>
          <w:rFonts w:eastAsia="Arial Unicode MS"/>
          <w:sz w:val="26"/>
          <w:szCs w:val="26"/>
        </w:rPr>
        <w:t>sử dụng tài sản công vào hoạt động liên doanh, liên kết.</w:t>
      </w:r>
      <w:r w:rsidRPr="00E56AEB">
        <w:rPr>
          <w:rStyle w:val="Bodytext2Italic"/>
          <w:rFonts w:eastAsia="Arial Unicode MS"/>
          <w:color w:val="auto"/>
          <w:sz w:val="26"/>
          <w:szCs w:val="26"/>
        </w:rPr>
        <w:t xml:space="preserve"> </w:t>
      </w:r>
    </w:p>
    <w:p w14:paraId="2652D273" w14:textId="77777777" w:rsidR="00B07621" w:rsidRPr="00E56AEB" w:rsidRDefault="00B07621" w:rsidP="00E22F1D">
      <w:pPr>
        <w:spacing w:before="60" w:after="60" w:line="420" w:lineRule="exact"/>
        <w:ind w:firstLine="720"/>
        <w:jc w:val="both"/>
        <w:rPr>
          <w:rStyle w:val="Bodytext2"/>
          <w:rFonts w:eastAsia="Arial Unicode MS"/>
          <w:sz w:val="26"/>
          <w:szCs w:val="26"/>
        </w:rPr>
      </w:pPr>
      <w:r w:rsidRPr="00435609">
        <w:rPr>
          <w:rStyle w:val="Bodytext2Italic"/>
          <w:rFonts w:eastAsia="Arial Unicode MS"/>
          <w:color w:val="auto"/>
          <w:sz w:val="26"/>
          <w:szCs w:val="26"/>
        </w:rPr>
        <w:t>+</w:t>
      </w:r>
      <w:r w:rsidRPr="00E56AEB">
        <w:rPr>
          <w:rStyle w:val="Bodytext2"/>
          <w:rFonts w:eastAsia="Arial Unicode MS"/>
          <w:sz w:val="26"/>
          <w:szCs w:val="26"/>
        </w:rPr>
        <w:t xml:space="preserve"> Sử dụng các nguồn tài chính và trích lập quỹ: Học viện đã luôn nỗ lực, cố gắng để đảm bảo cân đối thu chi, thực hiện chi theo định mức quy định của Nhà nước và Quy chế chi tiêu nội bộ, và trích lập các quỹ đầy đủ theo quy định, đảm bảo mục đích đầu tư nâng cấp cơ sở vật chất và mua sắm trang thiết bị, dự phòng ổn định thu nhập, tăng phúc lợi cho CBVC và người lao động. Các khoản chi thực hiện nhiệm vụ không thường xuyên và chi đầu tư XDCB được thực hiện theo nhiệm vụ và kế hoạch, hàng năm thực hiện quyết toán theo quy định khi kết thúc năm tài chính.</w:t>
      </w:r>
    </w:p>
    <w:p w14:paraId="52604936" w14:textId="77777777" w:rsidR="00B07621" w:rsidRPr="00E56AEB" w:rsidRDefault="00B07621" w:rsidP="00E22F1D">
      <w:pPr>
        <w:spacing w:before="60" w:after="60" w:line="420" w:lineRule="exact"/>
        <w:ind w:firstLine="720"/>
        <w:jc w:val="both"/>
        <w:rPr>
          <w:rStyle w:val="Bodytext2"/>
          <w:rFonts w:eastAsia="Arial Unicode MS"/>
          <w:sz w:val="26"/>
          <w:szCs w:val="26"/>
        </w:rPr>
      </w:pPr>
      <w:r w:rsidRPr="00E56AEB">
        <w:rPr>
          <w:rStyle w:val="Bodytext2"/>
          <w:rFonts w:eastAsia="Arial Unicode MS"/>
          <w:sz w:val="26"/>
          <w:szCs w:val="26"/>
        </w:rPr>
        <w:t>+ Học viện đã thực hiện khoán chi đến từng đơn vị trong Học viện để đơn vị tự chủ hơn trong hoạt động chuyên môn nhằm quản lý và sử dụng kinh phí hiệu quả, tiết kiệm.</w:t>
      </w:r>
    </w:p>
    <w:p w14:paraId="52E588BD" w14:textId="77777777" w:rsidR="00B07621" w:rsidRPr="00E56AEB" w:rsidRDefault="00B07621" w:rsidP="00E22F1D">
      <w:pPr>
        <w:spacing w:before="60" w:after="60" w:line="420" w:lineRule="exact"/>
        <w:ind w:firstLine="720"/>
        <w:jc w:val="both"/>
        <w:rPr>
          <w:rStyle w:val="Bodytext2"/>
          <w:rFonts w:eastAsia="Arial Unicode MS"/>
          <w:sz w:val="26"/>
          <w:szCs w:val="26"/>
        </w:rPr>
      </w:pPr>
      <w:r w:rsidRPr="00E56AEB">
        <w:rPr>
          <w:rStyle w:val="Bodytext2"/>
          <w:rFonts w:eastAsia="Arial Unicode MS"/>
          <w:sz w:val="26"/>
          <w:szCs w:val="26"/>
        </w:rPr>
        <w:t xml:space="preserve">+ Các đơn vị trực thuộc Học viện giao sử dụng tài sản và tự chủ tổ chức hoạt động, thu chi tài chính và hàng năm thực hiện nộp báo cáo quyết toán kinh phí để Học viện ghi nhận và quyết toán NSNN với cơ quan chủ quản. </w:t>
      </w:r>
    </w:p>
    <w:p w14:paraId="4ABB989F" w14:textId="77777777" w:rsidR="00B07621" w:rsidRPr="00E56AEB" w:rsidRDefault="00B07621" w:rsidP="00E22F1D">
      <w:pPr>
        <w:spacing w:before="60" w:after="60" w:line="420" w:lineRule="exact"/>
        <w:ind w:firstLine="720"/>
        <w:jc w:val="both"/>
        <w:rPr>
          <w:rStyle w:val="Bodytext2"/>
          <w:rFonts w:eastAsia="Arial Unicode MS"/>
          <w:sz w:val="26"/>
          <w:szCs w:val="26"/>
        </w:rPr>
      </w:pPr>
      <w:r w:rsidRPr="00E56AEB">
        <w:rPr>
          <w:rStyle w:val="Bodytext2"/>
          <w:rFonts w:eastAsia="Arial Unicode MS"/>
          <w:sz w:val="26"/>
          <w:szCs w:val="26"/>
        </w:rPr>
        <w:t>+ Quản lý tài sản: Học viện đã thực hiện rà soát, sửa đổi và bổ sung quy định quản lý và sử dụng tài sản đảm bảo phù hợp với cơ chế tự chủ</w:t>
      </w:r>
      <w:r w:rsidRPr="00E56AEB">
        <w:rPr>
          <w:rStyle w:val="Bodytext2"/>
          <w:rFonts w:eastAsia="Arial Unicode MS"/>
          <w:i/>
          <w:iCs/>
          <w:sz w:val="26"/>
          <w:szCs w:val="26"/>
        </w:rPr>
        <w:t>.</w:t>
      </w:r>
      <w:r w:rsidRPr="00E56AEB">
        <w:rPr>
          <w:rStyle w:val="Bodytext2"/>
          <w:rFonts w:eastAsia="Arial Unicode MS"/>
          <w:sz w:val="26"/>
          <w:szCs w:val="26"/>
        </w:rPr>
        <w:t xml:space="preserve"> Đồng thời, Học viện cũng đã rà soát và ban hành các quy trình về mua sắm tài sản, xây dựng và cải tạo cơ sở vật chất, quản lý và sử dụng tài sản để đảm bảo đúng quy định của pháp luật, nâng cao hiệu quả sử dụng và tăng tính trách nhiệm của các đơn vị/cá nhân trong toàn Học viện.</w:t>
      </w:r>
    </w:p>
    <w:p w14:paraId="19DADD10" w14:textId="77777777" w:rsidR="00B07621" w:rsidRPr="00E56AEB" w:rsidRDefault="00B07621" w:rsidP="00E22F1D">
      <w:pPr>
        <w:spacing w:before="60" w:after="60" w:line="420" w:lineRule="exact"/>
        <w:ind w:firstLine="720"/>
        <w:jc w:val="both"/>
        <w:rPr>
          <w:rStyle w:val="Bodytext2"/>
          <w:rFonts w:eastAsia="Arial Unicode MS"/>
          <w:i/>
          <w:sz w:val="26"/>
          <w:szCs w:val="26"/>
        </w:rPr>
      </w:pPr>
      <w:r w:rsidRPr="00E56AEB">
        <w:rPr>
          <w:rStyle w:val="Bodytext2"/>
          <w:rFonts w:eastAsia="Arial Unicode MS"/>
          <w:i/>
          <w:sz w:val="26"/>
          <w:szCs w:val="26"/>
        </w:rPr>
        <w:t>Kết quả thực hiện các chính sách phục vụ đào tạo</w:t>
      </w:r>
    </w:p>
    <w:p w14:paraId="7C5F655B" w14:textId="77777777" w:rsidR="00B07621" w:rsidRPr="00E56AEB" w:rsidRDefault="00B07621" w:rsidP="00E22F1D">
      <w:pPr>
        <w:spacing w:before="60" w:after="60" w:line="420" w:lineRule="exact"/>
        <w:ind w:firstLine="720"/>
        <w:jc w:val="both"/>
        <w:rPr>
          <w:rStyle w:val="Bodytext2"/>
          <w:rFonts w:eastAsia="Arial Unicode MS"/>
          <w:sz w:val="26"/>
          <w:szCs w:val="26"/>
        </w:rPr>
      </w:pPr>
      <w:r w:rsidRPr="00E56AEB">
        <w:rPr>
          <w:rStyle w:val="Bodytext2"/>
          <w:rFonts w:eastAsia="Arial Unicode MS"/>
          <w:sz w:val="26"/>
          <w:szCs w:val="26"/>
        </w:rPr>
        <w:t xml:space="preserve">Học viện triển khai đầy đủ các chính sách hỗ trợ giáo dục - đào tạo về số đối tượng thụ hưởng và kinh phí chi trả, như: Thực hiện chế độ miễn, giảm học phí theo Nghị định số 81/2021/NĐ-CP ngày 27/8/2021 của Chính phủ; chính sách ưu tiên tuyển sinh và hỗ trợ học tập đối với trẻ mẫu giáo, học sinh, sinh viên dân tộc thiểu số rất ít người theo Nghị định số 57/2017/NĐ-CP ngày 09/05/2017 của Chính phủ; Nghị định </w:t>
      </w:r>
      <w:r w:rsidRPr="00E56AEB">
        <w:rPr>
          <w:rStyle w:val="Bodytext2"/>
          <w:rFonts w:eastAsia="Arial Unicode MS"/>
          <w:sz w:val="26"/>
          <w:szCs w:val="26"/>
        </w:rPr>
        <w:lastRenderedPageBreak/>
        <w:t>số 116/2020/NĐ-CP về chính sách hỗ trợ tiền đóng học phí và chi phí sinh hoạt cho sinh viên sư phạm; Quyết định số 66/2013/QĐ-TTg về hỗ trợ chi phí học tập sinh viên dân tộc thiểu số và Thông tư liên tịch số 53/1998/TTLT/BGDĐT-BTC-BLĐTBXH về việc Hỗ trợ học bổng, học sinh thuộc diện chính sách xã hội (bả</w:t>
      </w:r>
      <w:r w:rsidR="002325C7" w:rsidRPr="00E56AEB">
        <w:rPr>
          <w:rStyle w:val="Bodytext2"/>
          <w:rFonts w:eastAsia="Arial Unicode MS"/>
          <w:sz w:val="26"/>
          <w:szCs w:val="26"/>
        </w:rPr>
        <w:t>ng 4</w:t>
      </w:r>
      <w:r w:rsidRPr="00E56AEB">
        <w:rPr>
          <w:rStyle w:val="Bodytext2"/>
          <w:rFonts w:eastAsia="Arial Unicode MS"/>
          <w:sz w:val="26"/>
          <w:szCs w:val="26"/>
        </w:rPr>
        <w:t>).</w:t>
      </w:r>
      <w:r w:rsidRPr="00E56AEB">
        <w:rPr>
          <w:rStyle w:val="Bodytext2"/>
          <w:rFonts w:eastAsia="Arial Unicode MS"/>
          <w:sz w:val="26"/>
          <w:szCs w:val="26"/>
        </w:rPr>
        <w:tab/>
      </w:r>
    </w:p>
    <w:p w14:paraId="72C05D40" w14:textId="77777777" w:rsidR="00B07621" w:rsidRPr="00024816" w:rsidRDefault="00B07621" w:rsidP="00B07621">
      <w:pPr>
        <w:spacing w:before="60" w:after="60" w:line="276" w:lineRule="auto"/>
        <w:ind w:firstLine="720"/>
        <w:jc w:val="center"/>
        <w:rPr>
          <w:rStyle w:val="Bodytext2"/>
          <w:rFonts w:eastAsia="Arial Unicode MS"/>
          <w:sz w:val="26"/>
          <w:szCs w:val="26"/>
        </w:rPr>
      </w:pPr>
      <w:r>
        <w:rPr>
          <w:rStyle w:val="Bodytext2"/>
          <w:rFonts w:eastAsia="Arial Unicode MS"/>
          <w:sz w:val="26"/>
          <w:szCs w:val="26"/>
        </w:rPr>
        <w:t>Bả</w:t>
      </w:r>
      <w:r w:rsidR="002325C7">
        <w:rPr>
          <w:rStyle w:val="Bodytext2"/>
          <w:rFonts w:eastAsia="Arial Unicode MS"/>
          <w:sz w:val="26"/>
          <w:szCs w:val="26"/>
        </w:rPr>
        <w:t>ng 4</w:t>
      </w:r>
      <w:r>
        <w:rPr>
          <w:rStyle w:val="Bodytext2"/>
          <w:rFonts w:eastAsia="Arial Unicode MS"/>
          <w:sz w:val="26"/>
          <w:szCs w:val="26"/>
        </w:rPr>
        <w:t>: Kết quả thực hiện chính sách phục vụ đào tạo</w:t>
      </w:r>
    </w:p>
    <w:p w14:paraId="58C65091" w14:textId="77777777" w:rsidR="00B07621" w:rsidRPr="00B2013B" w:rsidRDefault="00B07621" w:rsidP="00B07621">
      <w:pPr>
        <w:spacing w:before="60" w:after="60" w:line="276" w:lineRule="auto"/>
        <w:jc w:val="right"/>
        <w:rPr>
          <w:rStyle w:val="Bodytext2"/>
          <w:rFonts w:eastAsia="Arial Unicode MS"/>
          <w:i/>
        </w:rPr>
      </w:pPr>
      <w:r w:rsidRPr="00B2013B">
        <w:rPr>
          <w:rStyle w:val="Bodytext2"/>
          <w:rFonts w:eastAsia="Arial Unicode MS"/>
          <w:i/>
        </w:rPr>
        <w:t>Đơn vị tính: Triệu đồng</w:t>
      </w:r>
    </w:p>
    <w:tbl>
      <w:tblPr>
        <w:tblStyle w:val="TableGrid"/>
        <w:tblW w:w="9904" w:type="dxa"/>
        <w:tblLook w:val="04A0" w:firstRow="1" w:lastRow="0" w:firstColumn="1" w:lastColumn="0" w:noHBand="0" w:noVBand="1"/>
      </w:tblPr>
      <w:tblGrid>
        <w:gridCol w:w="537"/>
        <w:gridCol w:w="2630"/>
        <w:gridCol w:w="1138"/>
        <w:gridCol w:w="1219"/>
        <w:gridCol w:w="1134"/>
        <w:gridCol w:w="1134"/>
        <w:gridCol w:w="1056"/>
        <w:gridCol w:w="1056"/>
      </w:tblGrid>
      <w:tr w:rsidR="00B07621" w:rsidRPr="00492720" w14:paraId="2139DBF5" w14:textId="77777777" w:rsidTr="00492720">
        <w:tc>
          <w:tcPr>
            <w:tcW w:w="0" w:type="auto"/>
            <w:vAlign w:val="center"/>
          </w:tcPr>
          <w:p w14:paraId="4B0DAF4E"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TT</w:t>
            </w:r>
          </w:p>
        </w:tc>
        <w:tc>
          <w:tcPr>
            <w:tcW w:w="2630" w:type="dxa"/>
            <w:vAlign w:val="center"/>
          </w:tcPr>
          <w:p w14:paraId="670B1B00"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Chế độ chính sách</w:t>
            </w:r>
          </w:p>
        </w:tc>
        <w:tc>
          <w:tcPr>
            <w:tcW w:w="1138" w:type="dxa"/>
            <w:vAlign w:val="center"/>
          </w:tcPr>
          <w:p w14:paraId="3017BCC5"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2020</w:t>
            </w:r>
          </w:p>
        </w:tc>
        <w:tc>
          <w:tcPr>
            <w:tcW w:w="1219" w:type="dxa"/>
            <w:vAlign w:val="center"/>
          </w:tcPr>
          <w:p w14:paraId="19B1AF61"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2021</w:t>
            </w:r>
          </w:p>
        </w:tc>
        <w:tc>
          <w:tcPr>
            <w:tcW w:w="1134" w:type="dxa"/>
            <w:vAlign w:val="center"/>
          </w:tcPr>
          <w:p w14:paraId="50A1DF99"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2022</w:t>
            </w:r>
          </w:p>
        </w:tc>
        <w:tc>
          <w:tcPr>
            <w:tcW w:w="1134" w:type="dxa"/>
            <w:vAlign w:val="center"/>
          </w:tcPr>
          <w:p w14:paraId="6D0BD5BC"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2023</w:t>
            </w:r>
          </w:p>
        </w:tc>
        <w:tc>
          <w:tcPr>
            <w:tcW w:w="0" w:type="auto"/>
            <w:vAlign w:val="center"/>
          </w:tcPr>
          <w:p w14:paraId="7A136F60"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2024</w:t>
            </w:r>
          </w:p>
          <w:p w14:paraId="56A4AD3C"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Ước TH</w:t>
            </w:r>
          </w:p>
        </w:tc>
        <w:tc>
          <w:tcPr>
            <w:tcW w:w="0" w:type="auto"/>
            <w:vAlign w:val="center"/>
          </w:tcPr>
          <w:p w14:paraId="0696BE47"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2025</w:t>
            </w:r>
          </w:p>
          <w:p w14:paraId="600E5759" w14:textId="77777777" w:rsidR="00B07621" w:rsidRPr="00492720" w:rsidRDefault="00B07621" w:rsidP="00275047">
            <w:pPr>
              <w:spacing w:before="60" w:after="60" w:line="276" w:lineRule="auto"/>
              <w:jc w:val="center"/>
              <w:rPr>
                <w:rStyle w:val="Bodytext2"/>
                <w:rFonts w:eastAsia="Arial Unicode MS"/>
                <w:b/>
                <w:sz w:val="24"/>
                <w:szCs w:val="24"/>
              </w:rPr>
            </w:pPr>
            <w:r w:rsidRPr="00492720">
              <w:rPr>
                <w:rStyle w:val="Bodytext2"/>
                <w:rFonts w:eastAsia="Arial Unicode MS"/>
                <w:b/>
                <w:sz w:val="24"/>
                <w:szCs w:val="24"/>
              </w:rPr>
              <w:t>Dự kiến</w:t>
            </w:r>
          </w:p>
        </w:tc>
      </w:tr>
      <w:tr w:rsidR="00B07621" w:rsidRPr="00492720" w14:paraId="002F93A8" w14:textId="77777777" w:rsidTr="00492720">
        <w:tc>
          <w:tcPr>
            <w:tcW w:w="0" w:type="auto"/>
            <w:vAlign w:val="center"/>
          </w:tcPr>
          <w:p w14:paraId="43B80BB0" w14:textId="77777777" w:rsidR="00B07621" w:rsidRPr="00492720" w:rsidRDefault="00B07621" w:rsidP="00275047">
            <w:pPr>
              <w:spacing w:before="60" w:after="60" w:line="276" w:lineRule="auto"/>
              <w:jc w:val="center"/>
              <w:rPr>
                <w:rStyle w:val="Bodytext2"/>
                <w:rFonts w:eastAsia="Arial Unicode MS"/>
                <w:sz w:val="24"/>
                <w:szCs w:val="24"/>
              </w:rPr>
            </w:pPr>
            <w:r w:rsidRPr="00492720">
              <w:rPr>
                <w:rStyle w:val="Bodytext2"/>
                <w:rFonts w:eastAsia="Arial Unicode MS"/>
                <w:sz w:val="24"/>
                <w:szCs w:val="24"/>
              </w:rPr>
              <w:t>1</w:t>
            </w:r>
          </w:p>
        </w:tc>
        <w:tc>
          <w:tcPr>
            <w:tcW w:w="2630" w:type="dxa"/>
          </w:tcPr>
          <w:p w14:paraId="06A535EF" w14:textId="77777777" w:rsidR="00B07621" w:rsidRPr="00492720" w:rsidRDefault="00B07621" w:rsidP="00275047">
            <w:pPr>
              <w:spacing w:before="60" w:after="60" w:line="276" w:lineRule="auto"/>
              <w:jc w:val="both"/>
              <w:rPr>
                <w:rStyle w:val="Bodytext2"/>
                <w:rFonts w:eastAsia="Arial Unicode MS"/>
                <w:sz w:val="24"/>
                <w:szCs w:val="24"/>
              </w:rPr>
            </w:pPr>
            <w:r w:rsidRPr="00492720">
              <w:rPr>
                <w:rStyle w:val="Bodytext2"/>
                <w:rFonts w:eastAsia="Arial Unicode MS"/>
                <w:sz w:val="24"/>
                <w:szCs w:val="24"/>
              </w:rPr>
              <w:t xml:space="preserve">Miễn, giảm học phí </w:t>
            </w:r>
          </w:p>
        </w:tc>
        <w:tc>
          <w:tcPr>
            <w:tcW w:w="1138" w:type="dxa"/>
            <w:vAlign w:val="center"/>
          </w:tcPr>
          <w:p w14:paraId="0B12C0E2"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6.279,35</w:t>
            </w:r>
          </w:p>
        </w:tc>
        <w:tc>
          <w:tcPr>
            <w:tcW w:w="1219" w:type="dxa"/>
            <w:vAlign w:val="center"/>
          </w:tcPr>
          <w:p w14:paraId="697E5446"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5.944</w:t>
            </w:r>
          </w:p>
        </w:tc>
        <w:tc>
          <w:tcPr>
            <w:tcW w:w="1134" w:type="dxa"/>
            <w:vAlign w:val="center"/>
          </w:tcPr>
          <w:p w14:paraId="2E73E7C8"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7.098,09</w:t>
            </w:r>
          </w:p>
        </w:tc>
        <w:tc>
          <w:tcPr>
            <w:tcW w:w="1134" w:type="dxa"/>
            <w:vAlign w:val="center"/>
          </w:tcPr>
          <w:p w14:paraId="2F8FC224"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6.333.30</w:t>
            </w:r>
          </w:p>
        </w:tc>
        <w:tc>
          <w:tcPr>
            <w:tcW w:w="0" w:type="auto"/>
            <w:vAlign w:val="center"/>
          </w:tcPr>
          <w:p w14:paraId="3917BACB"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6.362.64</w:t>
            </w:r>
          </w:p>
        </w:tc>
        <w:tc>
          <w:tcPr>
            <w:tcW w:w="0" w:type="auto"/>
            <w:vAlign w:val="center"/>
          </w:tcPr>
          <w:p w14:paraId="5E65BDCF"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6.309,53</w:t>
            </w:r>
          </w:p>
        </w:tc>
      </w:tr>
      <w:tr w:rsidR="00B07621" w:rsidRPr="00492720" w14:paraId="1DAF7CC7" w14:textId="77777777" w:rsidTr="00492720">
        <w:tc>
          <w:tcPr>
            <w:tcW w:w="0" w:type="auto"/>
            <w:vAlign w:val="center"/>
          </w:tcPr>
          <w:p w14:paraId="3C404542" w14:textId="77777777" w:rsidR="00B07621" w:rsidRPr="00492720" w:rsidRDefault="00B07621" w:rsidP="00275047">
            <w:pPr>
              <w:spacing w:before="60" w:after="60" w:line="276" w:lineRule="auto"/>
              <w:jc w:val="center"/>
              <w:rPr>
                <w:rStyle w:val="Bodytext2"/>
                <w:rFonts w:eastAsia="Arial Unicode MS"/>
                <w:sz w:val="24"/>
                <w:szCs w:val="24"/>
              </w:rPr>
            </w:pPr>
            <w:r w:rsidRPr="00492720">
              <w:rPr>
                <w:rStyle w:val="Bodytext2"/>
                <w:rFonts w:eastAsia="Arial Unicode MS"/>
                <w:sz w:val="24"/>
                <w:szCs w:val="24"/>
              </w:rPr>
              <w:t>2</w:t>
            </w:r>
          </w:p>
        </w:tc>
        <w:tc>
          <w:tcPr>
            <w:tcW w:w="2630" w:type="dxa"/>
          </w:tcPr>
          <w:p w14:paraId="08ADDBC9" w14:textId="77777777" w:rsidR="00B07621" w:rsidRPr="00492720" w:rsidRDefault="00B07621" w:rsidP="00275047">
            <w:pPr>
              <w:spacing w:before="60" w:after="60" w:line="276" w:lineRule="auto"/>
              <w:jc w:val="both"/>
              <w:rPr>
                <w:rStyle w:val="Bodytext2"/>
                <w:rFonts w:eastAsia="Arial Unicode MS"/>
                <w:sz w:val="24"/>
                <w:szCs w:val="24"/>
              </w:rPr>
            </w:pPr>
            <w:r w:rsidRPr="00492720">
              <w:rPr>
                <w:rStyle w:val="Bodytext2"/>
                <w:rFonts w:eastAsia="Arial Unicode MS"/>
                <w:sz w:val="24"/>
                <w:szCs w:val="24"/>
              </w:rPr>
              <w:t>Chính sách hỗ trợ theo Nghị định số 57/2017/NĐ-CP</w:t>
            </w:r>
          </w:p>
        </w:tc>
        <w:tc>
          <w:tcPr>
            <w:tcW w:w="1138" w:type="dxa"/>
            <w:vAlign w:val="center"/>
          </w:tcPr>
          <w:p w14:paraId="10D5519D"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62,58</w:t>
            </w:r>
          </w:p>
        </w:tc>
        <w:tc>
          <w:tcPr>
            <w:tcW w:w="1219" w:type="dxa"/>
            <w:vAlign w:val="center"/>
          </w:tcPr>
          <w:p w14:paraId="62A8B239"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107,00</w:t>
            </w:r>
          </w:p>
        </w:tc>
        <w:tc>
          <w:tcPr>
            <w:tcW w:w="1134" w:type="dxa"/>
            <w:vAlign w:val="center"/>
          </w:tcPr>
          <w:p w14:paraId="7CCA2BC4"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125,16</w:t>
            </w:r>
          </w:p>
        </w:tc>
        <w:tc>
          <w:tcPr>
            <w:tcW w:w="1134" w:type="dxa"/>
            <w:vAlign w:val="center"/>
          </w:tcPr>
          <w:p w14:paraId="72FDF017"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127,38</w:t>
            </w:r>
          </w:p>
        </w:tc>
        <w:tc>
          <w:tcPr>
            <w:tcW w:w="0" w:type="auto"/>
            <w:vAlign w:val="center"/>
          </w:tcPr>
          <w:p w14:paraId="12F0A628"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214,04</w:t>
            </w:r>
          </w:p>
        </w:tc>
        <w:tc>
          <w:tcPr>
            <w:tcW w:w="0" w:type="auto"/>
            <w:vAlign w:val="center"/>
          </w:tcPr>
          <w:p w14:paraId="3523137D"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154,44</w:t>
            </w:r>
          </w:p>
        </w:tc>
      </w:tr>
      <w:tr w:rsidR="00B07621" w:rsidRPr="00492720" w14:paraId="20569742" w14:textId="77777777" w:rsidTr="00492720">
        <w:tc>
          <w:tcPr>
            <w:tcW w:w="0" w:type="auto"/>
            <w:vAlign w:val="center"/>
          </w:tcPr>
          <w:p w14:paraId="70529404" w14:textId="77777777" w:rsidR="00B07621" w:rsidRPr="00492720" w:rsidRDefault="00B07621" w:rsidP="00275047">
            <w:pPr>
              <w:spacing w:before="60" w:after="60" w:line="276" w:lineRule="auto"/>
              <w:jc w:val="center"/>
              <w:rPr>
                <w:rStyle w:val="Bodytext2"/>
                <w:rFonts w:eastAsia="Arial Unicode MS"/>
                <w:sz w:val="24"/>
                <w:szCs w:val="24"/>
              </w:rPr>
            </w:pPr>
            <w:r w:rsidRPr="00492720">
              <w:rPr>
                <w:rStyle w:val="Bodytext2"/>
                <w:rFonts w:eastAsia="Arial Unicode MS"/>
                <w:sz w:val="24"/>
                <w:szCs w:val="24"/>
              </w:rPr>
              <w:t>3</w:t>
            </w:r>
          </w:p>
        </w:tc>
        <w:tc>
          <w:tcPr>
            <w:tcW w:w="2630" w:type="dxa"/>
          </w:tcPr>
          <w:p w14:paraId="2B05405C" w14:textId="77777777" w:rsidR="00B07621" w:rsidRPr="00492720" w:rsidRDefault="00B07621" w:rsidP="00275047">
            <w:pPr>
              <w:spacing w:before="60" w:after="60" w:line="276" w:lineRule="auto"/>
              <w:jc w:val="both"/>
              <w:rPr>
                <w:rStyle w:val="Bodytext2"/>
                <w:rFonts w:eastAsia="Arial Unicode MS"/>
                <w:sz w:val="24"/>
                <w:szCs w:val="24"/>
              </w:rPr>
            </w:pPr>
            <w:r w:rsidRPr="00492720">
              <w:rPr>
                <w:rStyle w:val="Bodytext2"/>
                <w:rFonts w:eastAsia="Arial Unicode MS"/>
                <w:sz w:val="24"/>
                <w:szCs w:val="24"/>
              </w:rPr>
              <w:t>Hỗ trợ chi phí học tập theo Quyết định số 66/2013/QĐ-TTg</w:t>
            </w:r>
          </w:p>
        </w:tc>
        <w:tc>
          <w:tcPr>
            <w:tcW w:w="1138" w:type="dxa"/>
            <w:vAlign w:val="center"/>
          </w:tcPr>
          <w:p w14:paraId="0382DA46"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1.841,64</w:t>
            </w:r>
          </w:p>
        </w:tc>
        <w:tc>
          <w:tcPr>
            <w:tcW w:w="1219" w:type="dxa"/>
            <w:vAlign w:val="center"/>
          </w:tcPr>
          <w:p w14:paraId="4DFC6288"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1.372,29</w:t>
            </w:r>
          </w:p>
        </w:tc>
        <w:tc>
          <w:tcPr>
            <w:tcW w:w="1134" w:type="dxa"/>
            <w:vAlign w:val="center"/>
          </w:tcPr>
          <w:p w14:paraId="665CD099"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1.358,88</w:t>
            </w:r>
          </w:p>
        </w:tc>
        <w:tc>
          <w:tcPr>
            <w:tcW w:w="1134" w:type="dxa"/>
            <w:vAlign w:val="center"/>
          </w:tcPr>
          <w:p w14:paraId="11BB6B94"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1.261,68</w:t>
            </w:r>
          </w:p>
        </w:tc>
        <w:tc>
          <w:tcPr>
            <w:tcW w:w="0" w:type="auto"/>
            <w:vAlign w:val="center"/>
          </w:tcPr>
          <w:p w14:paraId="5E1AD91E"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1311,66</w:t>
            </w:r>
          </w:p>
        </w:tc>
        <w:tc>
          <w:tcPr>
            <w:tcW w:w="0" w:type="auto"/>
            <w:vAlign w:val="center"/>
          </w:tcPr>
          <w:p w14:paraId="47083142"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1.418,04</w:t>
            </w:r>
          </w:p>
        </w:tc>
      </w:tr>
      <w:tr w:rsidR="00B07621" w:rsidRPr="00492720" w14:paraId="41FAF337" w14:textId="77777777" w:rsidTr="00492720">
        <w:tc>
          <w:tcPr>
            <w:tcW w:w="0" w:type="auto"/>
            <w:vAlign w:val="center"/>
          </w:tcPr>
          <w:p w14:paraId="34F57021" w14:textId="77777777" w:rsidR="00B07621" w:rsidRPr="00492720" w:rsidRDefault="00B07621" w:rsidP="00275047">
            <w:pPr>
              <w:spacing w:before="60" w:after="60" w:line="276" w:lineRule="auto"/>
              <w:jc w:val="center"/>
              <w:rPr>
                <w:rStyle w:val="Bodytext2"/>
                <w:rFonts w:eastAsia="Arial Unicode MS"/>
                <w:sz w:val="24"/>
                <w:szCs w:val="24"/>
              </w:rPr>
            </w:pPr>
            <w:r w:rsidRPr="00492720">
              <w:rPr>
                <w:rStyle w:val="Bodytext2"/>
                <w:rFonts w:eastAsia="Arial Unicode MS"/>
                <w:sz w:val="24"/>
                <w:szCs w:val="24"/>
              </w:rPr>
              <w:t>4</w:t>
            </w:r>
          </w:p>
        </w:tc>
        <w:tc>
          <w:tcPr>
            <w:tcW w:w="2630" w:type="dxa"/>
          </w:tcPr>
          <w:p w14:paraId="46DB81D2" w14:textId="77777777" w:rsidR="00B07621" w:rsidRPr="00492720" w:rsidRDefault="00B07621" w:rsidP="00275047">
            <w:pPr>
              <w:spacing w:before="60" w:after="60" w:line="276" w:lineRule="auto"/>
              <w:jc w:val="both"/>
              <w:rPr>
                <w:rStyle w:val="Bodytext2"/>
                <w:rFonts w:eastAsia="Arial Unicode MS"/>
                <w:sz w:val="24"/>
                <w:szCs w:val="24"/>
              </w:rPr>
            </w:pPr>
            <w:r w:rsidRPr="00492720">
              <w:rPr>
                <w:rStyle w:val="Bodytext2"/>
                <w:rFonts w:eastAsia="Arial Unicode MS"/>
                <w:sz w:val="24"/>
                <w:szCs w:val="24"/>
              </w:rPr>
              <w:t>Hỗ trợ học bổng theo Thông tư liên tịch số 53/1998/TTLT/BGDĐT-BTC-BLĐTBXH</w:t>
            </w:r>
          </w:p>
        </w:tc>
        <w:tc>
          <w:tcPr>
            <w:tcW w:w="1138" w:type="dxa"/>
            <w:vAlign w:val="center"/>
          </w:tcPr>
          <w:p w14:paraId="6E103B57" w14:textId="77777777" w:rsidR="00B07621" w:rsidRPr="00492720" w:rsidRDefault="00B07621" w:rsidP="00275047">
            <w:pPr>
              <w:spacing w:before="60" w:after="60" w:line="276" w:lineRule="auto"/>
              <w:jc w:val="right"/>
              <w:rPr>
                <w:rStyle w:val="Bodytext2"/>
                <w:rFonts w:eastAsia="Arial Unicode MS"/>
                <w:sz w:val="24"/>
                <w:szCs w:val="24"/>
              </w:rPr>
            </w:pPr>
          </w:p>
        </w:tc>
        <w:tc>
          <w:tcPr>
            <w:tcW w:w="1219" w:type="dxa"/>
            <w:vAlign w:val="center"/>
          </w:tcPr>
          <w:p w14:paraId="7FC16194"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955,51</w:t>
            </w:r>
          </w:p>
        </w:tc>
        <w:tc>
          <w:tcPr>
            <w:tcW w:w="1134" w:type="dxa"/>
            <w:vAlign w:val="center"/>
          </w:tcPr>
          <w:p w14:paraId="38C9570A"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912,36</w:t>
            </w:r>
          </w:p>
        </w:tc>
        <w:tc>
          <w:tcPr>
            <w:tcW w:w="1134" w:type="dxa"/>
            <w:vAlign w:val="center"/>
          </w:tcPr>
          <w:p w14:paraId="1F1CE03E"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676,92</w:t>
            </w:r>
          </w:p>
        </w:tc>
        <w:tc>
          <w:tcPr>
            <w:tcW w:w="0" w:type="auto"/>
            <w:vAlign w:val="center"/>
          </w:tcPr>
          <w:p w14:paraId="31D37A8C"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866,76</w:t>
            </w:r>
          </w:p>
        </w:tc>
        <w:tc>
          <w:tcPr>
            <w:tcW w:w="0" w:type="auto"/>
            <w:vAlign w:val="center"/>
          </w:tcPr>
          <w:p w14:paraId="19112667"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582,96</w:t>
            </w:r>
          </w:p>
        </w:tc>
      </w:tr>
      <w:tr w:rsidR="00B07621" w:rsidRPr="00492720" w14:paraId="0748F237" w14:textId="77777777" w:rsidTr="00492720">
        <w:tc>
          <w:tcPr>
            <w:tcW w:w="0" w:type="auto"/>
            <w:vAlign w:val="center"/>
          </w:tcPr>
          <w:p w14:paraId="53516EDA" w14:textId="77777777" w:rsidR="00B07621" w:rsidRPr="00492720" w:rsidRDefault="00B07621" w:rsidP="00275047">
            <w:pPr>
              <w:spacing w:before="60" w:after="60" w:line="276" w:lineRule="auto"/>
              <w:jc w:val="center"/>
              <w:rPr>
                <w:rStyle w:val="Bodytext2"/>
                <w:rFonts w:eastAsia="Arial Unicode MS"/>
                <w:sz w:val="24"/>
                <w:szCs w:val="24"/>
              </w:rPr>
            </w:pPr>
            <w:r w:rsidRPr="00492720">
              <w:rPr>
                <w:rStyle w:val="Bodytext2"/>
                <w:rFonts w:eastAsia="Arial Unicode MS"/>
                <w:sz w:val="24"/>
                <w:szCs w:val="24"/>
              </w:rPr>
              <w:t>5</w:t>
            </w:r>
          </w:p>
        </w:tc>
        <w:tc>
          <w:tcPr>
            <w:tcW w:w="2630" w:type="dxa"/>
          </w:tcPr>
          <w:p w14:paraId="76169448" w14:textId="77777777" w:rsidR="00B07621" w:rsidRPr="00492720" w:rsidRDefault="00B07621" w:rsidP="00275047">
            <w:pPr>
              <w:spacing w:before="60" w:after="60" w:line="276" w:lineRule="auto"/>
              <w:jc w:val="both"/>
              <w:rPr>
                <w:rStyle w:val="Bodytext2"/>
                <w:rFonts w:eastAsia="Arial Unicode MS"/>
                <w:sz w:val="24"/>
                <w:szCs w:val="24"/>
              </w:rPr>
            </w:pPr>
            <w:r w:rsidRPr="00492720">
              <w:rPr>
                <w:rStyle w:val="Bodytext2"/>
                <w:rFonts w:eastAsia="Arial Unicode MS"/>
                <w:sz w:val="24"/>
                <w:szCs w:val="24"/>
              </w:rPr>
              <w:t>Hỗ trợ chi phí học tập theo Quyết định số 194/2001/QĐ-TTg</w:t>
            </w:r>
          </w:p>
        </w:tc>
        <w:tc>
          <w:tcPr>
            <w:tcW w:w="1138" w:type="dxa"/>
            <w:vAlign w:val="center"/>
          </w:tcPr>
          <w:p w14:paraId="5B438E5B"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906,12</w:t>
            </w:r>
          </w:p>
        </w:tc>
        <w:tc>
          <w:tcPr>
            <w:tcW w:w="1219" w:type="dxa"/>
            <w:vAlign w:val="center"/>
          </w:tcPr>
          <w:p w14:paraId="49B9312B" w14:textId="77777777" w:rsidR="00B07621" w:rsidRPr="00492720" w:rsidRDefault="00B07621" w:rsidP="00275047">
            <w:pPr>
              <w:spacing w:before="60" w:after="60" w:line="276" w:lineRule="auto"/>
              <w:jc w:val="right"/>
              <w:rPr>
                <w:rStyle w:val="Bodytext2"/>
                <w:rFonts w:eastAsia="Arial Unicode MS"/>
                <w:sz w:val="24"/>
                <w:szCs w:val="24"/>
              </w:rPr>
            </w:pPr>
          </w:p>
        </w:tc>
        <w:tc>
          <w:tcPr>
            <w:tcW w:w="1134" w:type="dxa"/>
            <w:vAlign w:val="center"/>
          </w:tcPr>
          <w:p w14:paraId="60A01EFA" w14:textId="77777777" w:rsidR="00B07621" w:rsidRPr="00492720" w:rsidRDefault="00B07621" w:rsidP="00275047">
            <w:pPr>
              <w:spacing w:before="60" w:after="60" w:line="276" w:lineRule="auto"/>
              <w:jc w:val="right"/>
              <w:rPr>
                <w:rStyle w:val="Bodytext2"/>
                <w:rFonts w:eastAsia="Arial Unicode MS"/>
                <w:sz w:val="24"/>
                <w:szCs w:val="24"/>
              </w:rPr>
            </w:pPr>
          </w:p>
        </w:tc>
        <w:tc>
          <w:tcPr>
            <w:tcW w:w="1134" w:type="dxa"/>
            <w:vAlign w:val="center"/>
          </w:tcPr>
          <w:p w14:paraId="79D14D49" w14:textId="77777777" w:rsidR="00B07621" w:rsidRPr="00492720" w:rsidRDefault="00B07621" w:rsidP="00275047">
            <w:pPr>
              <w:spacing w:before="60" w:after="60" w:line="276" w:lineRule="auto"/>
              <w:jc w:val="right"/>
              <w:rPr>
                <w:rStyle w:val="Bodytext2"/>
                <w:rFonts w:eastAsia="Arial Unicode MS"/>
                <w:sz w:val="24"/>
                <w:szCs w:val="24"/>
              </w:rPr>
            </w:pPr>
          </w:p>
        </w:tc>
        <w:tc>
          <w:tcPr>
            <w:tcW w:w="0" w:type="auto"/>
            <w:vAlign w:val="center"/>
          </w:tcPr>
          <w:p w14:paraId="6D8EDC02" w14:textId="77777777" w:rsidR="00B07621" w:rsidRPr="00492720" w:rsidRDefault="00B07621" w:rsidP="00275047">
            <w:pPr>
              <w:spacing w:before="60" w:after="60" w:line="276" w:lineRule="auto"/>
              <w:jc w:val="right"/>
              <w:rPr>
                <w:rStyle w:val="Bodytext2"/>
                <w:rFonts w:eastAsia="Arial Unicode MS"/>
                <w:sz w:val="24"/>
                <w:szCs w:val="24"/>
              </w:rPr>
            </w:pPr>
          </w:p>
        </w:tc>
        <w:tc>
          <w:tcPr>
            <w:tcW w:w="0" w:type="auto"/>
            <w:vAlign w:val="center"/>
          </w:tcPr>
          <w:p w14:paraId="1C9B278C" w14:textId="77777777" w:rsidR="00B07621" w:rsidRPr="00492720" w:rsidRDefault="00B07621" w:rsidP="00275047">
            <w:pPr>
              <w:spacing w:before="60" w:after="60" w:line="276" w:lineRule="auto"/>
              <w:jc w:val="right"/>
              <w:rPr>
                <w:rStyle w:val="Bodytext2"/>
                <w:rFonts w:eastAsia="Arial Unicode MS"/>
                <w:sz w:val="24"/>
                <w:szCs w:val="24"/>
              </w:rPr>
            </w:pPr>
          </w:p>
        </w:tc>
      </w:tr>
      <w:tr w:rsidR="00B07621" w:rsidRPr="00492720" w14:paraId="7BFAB180" w14:textId="77777777" w:rsidTr="00492720">
        <w:tc>
          <w:tcPr>
            <w:tcW w:w="0" w:type="auto"/>
            <w:vAlign w:val="center"/>
          </w:tcPr>
          <w:p w14:paraId="1480DEFB" w14:textId="77777777" w:rsidR="00B07621" w:rsidRPr="00492720" w:rsidRDefault="00B07621" w:rsidP="00275047">
            <w:pPr>
              <w:spacing w:before="60" w:after="60" w:line="276" w:lineRule="auto"/>
              <w:jc w:val="center"/>
              <w:rPr>
                <w:rStyle w:val="Bodytext2"/>
                <w:rFonts w:eastAsia="Arial Unicode MS"/>
                <w:sz w:val="24"/>
                <w:szCs w:val="24"/>
              </w:rPr>
            </w:pPr>
            <w:r w:rsidRPr="00492720">
              <w:rPr>
                <w:rStyle w:val="Bodytext2"/>
                <w:rFonts w:eastAsia="Arial Unicode MS"/>
                <w:sz w:val="24"/>
                <w:szCs w:val="24"/>
              </w:rPr>
              <w:t>6</w:t>
            </w:r>
          </w:p>
        </w:tc>
        <w:tc>
          <w:tcPr>
            <w:tcW w:w="2630" w:type="dxa"/>
          </w:tcPr>
          <w:p w14:paraId="2EF70319" w14:textId="77777777" w:rsidR="00B07621" w:rsidRPr="00492720" w:rsidRDefault="00B07621" w:rsidP="00275047">
            <w:pPr>
              <w:spacing w:before="60" w:after="60" w:line="276" w:lineRule="auto"/>
              <w:jc w:val="both"/>
              <w:rPr>
                <w:rStyle w:val="Bodytext2"/>
                <w:rFonts w:eastAsia="Arial Unicode MS"/>
                <w:sz w:val="24"/>
                <w:szCs w:val="24"/>
              </w:rPr>
            </w:pPr>
            <w:r w:rsidRPr="00492720">
              <w:rPr>
                <w:rStyle w:val="Bodytext2"/>
                <w:rFonts w:eastAsia="Arial Unicode MS"/>
                <w:sz w:val="24"/>
                <w:szCs w:val="24"/>
              </w:rPr>
              <w:t>Hỗ trợ sinh viên sư phạm theo Nghị định số 116/2020/NĐ-CP</w:t>
            </w:r>
          </w:p>
        </w:tc>
        <w:tc>
          <w:tcPr>
            <w:tcW w:w="1138" w:type="dxa"/>
            <w:vAlign w:val="center"/>
          </w:tcPr>
          <w:p w14:paraId="553EAD99" w14:textId="77777777" w:rsidR="00B07621" w:rsidRPr="00492720" w:rsidRDefault="00B07621" w:rsidP="00275047">
            <w:pPr>
              <w:spacing w:before="60" w:after="60" w:line="276" w:lineRule="auto"/>
              <w:jc w:val="right"/>
              <w:rPr>
                <w:rStyle w:val="Bodytext2"/>
                <w:rFonts w:eastAsia="Arial Unicode MS"/>
                <w:sz w:val="24"/>
                <w:szCs w:val="24"/>
              </w:rPr>
            </w:pPr>
          </w:p>
        </w:tc>
        <w:tc>
          <w:tcPr>
            <w:tcW w:w="1219" w:type="dxa"/>
            <w:vAlign w:val="center"/>
          </w:tcPr>
          <w:p w14:paraId="6096A66A" w14:textId="77777777" w:rsidR="00B07621" w:rsidRPr="00492720" w:rsidRDefault="00B07621" w:rsidP="00275047">
            <w:pPr>
              <w:spacing w:before="60" w:after="60" w:line="276" w:lineRule="auto"/>
              <w:jc w:val="right"/>
              <w:rPr>
                <w:rStyle w:val="Bodytext2"/>
                <w:rFonts w:eastAsia="Arial Unicode MS"/>
                <w:sz w:val="24"/>
                <w:szCs w:val="24"/>
              </w:rPr>
            </w:pPr>
          </w:p>
        </w:tc>
        <w:tc>
          <w:tcPr>
            <w:tcW w:w="1134" w:type="dxa"/>
            <w:vAlign w:val="center"/>
          </w:tcPr>
          <w:p w14:paraId="0E7B1690" w14:textId="77777777" w:rsidR="00B07621" w:rsidRPr="00492720" w:rsidRDefault="00B07621" w:rsidP="00275047">
            <w:pPr>
              <w:spacing w:before="60" w:after="60" w:line="276" w:lineRule="auto"/>
              <w:jc w:val="right"/>
              <w:rPr>
                <w:rStyle w:val="Bodytext2"/>
                <w:rFonts w:eastAsia="Arial Unicode MS"/>
                <w:sz w:val="24"/>
                <w:szCs w:val="24"/>
              </w:rPr>
            </w:pPr>
          </w:p>
        </w:tc>
        <w:tc>
          <w:tcPr>
            <w:tcW w:w="1134" w:type="dxa"/>
            <w:vAlign w:val="center"/>
          </w:tcPr>
          <w:p w14:paraId="231D54ED"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453,75</w:t>
            </w:r>
          </w:p>
        </w:tc>
        <w:tc>
          <w:tcPr>
            <w:tcW w:w="0" w:type="auto"/>
            <w:vAlign w:val="center"/>
          </w:tcPr>
          <w:p w14:paraId="374FCDEF"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980,10</w:t>
            </w:r>
          </w:p>
        </w:tc>
        <w:tc>
          <w:tcPr>
            <w:tcW w:w="0" w:type="auto"/>
            <w:vAlign w:val="center"/>
          </w:tcPr>
          <w:p w14:paraId="0B9C0865" w14:textId="77777777" w:rsidR="00B07621" w:rsidRPr="00492720" w:rsidRDefault="00B07621" w:rsidP="00275047">
            <w:pPr>
              <w:spacing w:before="60" w:after="60" w:line="276" w:lineRule="auto"/>
              <w:jc w:val="right"/>
              <w:rPr>
                <w:rStyle w:val="Bodytext2"/>
                <w:rFonts w:eastAsia="Arial Unicode MS"/>
                <w:sz w:val="24"/>
                <w:szCs w:val="24"/>
              </w:rPr>
            </w:pPr>
            <w:r w:rsidRPr="00492720">
              <w:rPr>
                <w:rStyle w:val="Bodytext2"/>
                <w:rFonts w:eastAsia="Arial Unicode MS"/>
                <w:sz w:val="24"/>
                <w:szCs w:val="24"/>
              </w:rPr>
              <w:t>1179,75</w:t>
            </w:r>
          </w:p>
        </w:tc>
      </w:tr>
      <w:tr w:rsidR="00B07621" w:rsidRPr="00492720" w14:paraId="16856841" w14:textId="77777777" w:rsidTr="00492720">
        <w:tc>
          <w:tcPr>
            <w:tcW w:w="0" w:type="auto"/>
            <w:vAlign w:val="center"/>
          </w:tcPr>
          <w:p w14:paraId="5B787F26" w14:textId="77777777" w:rsidR="00B07621" w:rsidRPr="00492720" w:rsidRDefault="00B07621" w:rsidP="00275047">
            <w:pPr>
              <w:spacing w:before="60" w:after="60" w:line="276" w:lineRule="auto"/>
              <w:jc w:val="center"/>
              <w:rPr>
                <w:rStyle w:val="Bodytext2"/>
                <w:rFonts w:eastAsia="Arial Unicode MS"/>
                <w:b/>
                <w:sz w:val="24"/>
                <w:szCs w:val="24"/>
              </w:rPr>
            </w:pPr>
          </w:p>
        </w:tc>
        <w:tc>
          <w:tcPr>
            <w:tcW w:w="2630" w:type="dxa"/>
          </w:tcPr>
          <w:p w14:paraId="38B2B430" w14:textId="77777777" w:rsidR="00B07621" w:rsidRPr="00492720" w:rsidRDefault="00B07621" w:rsidP="00275047">
            <w:pPr>
              <w:spacing w:before="60" w:after="60" w:line="276" w:lineRule="auto"/>
              <w:jc w:val="both"/>
              <w:rPr>
                <w:rStyle w:val="Bodytext2"/>
                <w:rFonts w:eastAsia="Arial Unicode MS"/>
                <w:b/>
                <w:sz w:val="24"/>
                <w:szCs w:val="24"/>
              </w:rPr>
            </w:pPr>
            <w:r w:rsidRPr="00492720">
              <w:rPr>
                <w:rStyle w:val="Bodytext2"/>
                <w:rFonts w:eastAsia="Arial Unicode MS"/>
                <w:b/>
                <w:sz w:val="24"/>
                <w:szCs w:val="24"/>
              </w:rPr>
              <w:t>Tổng cộng</w:t>
            </w:r>
          </w:p>
        </w:tc>
        <w:tc>
          <w:tcPr>
            <w:tcW w:w="1138" w:type="dxa"/>
            <w:vAlign w:val="center"/>
          </w:tcPr>
          <w:p w14:paraId="3AB7780B" w14:textId="77777777" w:rsidR="00B07621" w:rsidRPr="00492720" w:rsidRDefault="00B07621" w:rsidP="00275047">
            <w:pPr>
              <w:spacing w:before="60" w:after="60" w:line="276" w:lineRule="auto"/>
              <w:jc w:val="right"/>
              <w:rPr>
                <w:rStyle w:val="Bodytext2"/>
                <w:rFonts w:eastAsia="Arial Unicode MS"/>
                <w:b/>
                <w:sz w:val="24"/>
                <w:szCs w:val="24"/>
              </w:rPr>
            </w:pPr>
            <w:r w:rsidRPr="00492720">
              <w:rPr>
                <w:rStyle w:val="Bodytext2"/>
                <w:rFonts w:eastAsia="Arial Unicode MS"/>
                <w:b/>
                <w:sz w:val="24"/>
                <w:szCs w:val="24"/>
              </w:rPr>
              <w:t>9.089,70</w:t>
            </w:r>
          </w:p>
        </w:tc>
        <w:tc>
          <w:tcPr>
            <w:tcW w:w="1219" w:type="dxa"/>
            <w:vAlign w:val="center"/>
          </w:tcPr>
          <w:p w14:paraId="2B851956" w14:textId="77777777" w:rsidR="00B07621" w:rsidRPr="00492720" w:rsidRDefault="00B07621" w:rsidP="00275047">
            <w:pPr>
              <w:spacing w:before="60" w:after="60" w:line="276" w:lineRule="auto"/>
              <w:jc w:val="right"/>
              <w:rPr>
                <w:rStyle w:val="Bodytext2"/>
                <w:rFonts w:eastAsia="Arial Unicode MS"/>
                <w:b/>
                <w:sz w:val="24"/>
                <w:szCs w:val="24"/>
              </w:rPr>
            </w:pPr>
            <w:r w:rsidRPr="00492720">
              <w:rPr>
                <w:rStyle w:val="Bodytext2"/>
                <w:rFonts w:eastAsia="Arial Unicode MS"/>
                <w:b/>
                <w:sz w:val="24"/>
                <w:szCs w:val="24"/>
              </w:rPr>
              <w:t>8.378,80</w:t>
            </w:r>
          </w:p>
        </w:tc>
        <w:tc>
          <w:tcPr>
            <w:tcW w:w="1134" w:type="dxa"/>
            <w:vAlign w:val="center"/>
          </w:tcPr>
          <w:p w14:paraId="2C29BBD4" w14:textId="77777777" w:rsidR="00B07621" w:rsidRPr="00492720" w:rsidRDefault="00B07621" w:rsidP="00275047">
            <w:pPr>
              <w:spacing w:before="60" w:after="60" w:line="276" w:lineRule="auto"/>
              <w:jc w:val="right"/>
              <w:rPr>
                <w:rStyle w:val="Bodytext2"/>
                <w:rFonts w:eastAsia="Arial Unicode MS"/>
                <w:b/>
                <w:sz w:val="24"/>
                <w:szCs w:val="24"/>
              </w:rPr>
            </w:pPr>
            <w:r w:rsidRPr="00492720">
              <w:rPr>
                <w:rStyle w:val="Bodytext2"/>
                <w:rFonts w:eastAsia="Arial Unicode MS"/>
                <w:b/>
                <w:sz w:val="24"/>
                <w:szCs w:val="24"/>
              </w:rPr>
              <w:t>9.494,49</w:t>
            </w:r>
          </w:p>
        </w:tc>
        <w:tc>
          <w:tcPr>
            <w:tcW w:w="1134" w:type="dxa"/>
            <w:vAlign w:val="center"/>
          </w:tcPr>
          <w:p w14:paraId="581787B6" w14:textId="77777777" w:rsidR="00B07621" w:rsidRPr="00492720" w:rsidRDefault="00B07621" w:rsidP="00275047">
            <w:pPr>
              <w:spacing w:before="60" w:after="60" w:line="276" w:lineRule="auto"/>
              <w:jc w:val="right"/>
              <w:rPr>
                <w:rStyle w:val="Bodytext2"/>
                <w:rFonts w:eastAsia="Arial Unicode MS"/>
                <w:b/>
                <w:sz w:val="24"/>
                <w:szCs w:val="24"/>
              </w:rPr>
            </w:pPr>
            <w:r w:rsidRPr="00492720">
              <w:rPr>
                <w:rStyle w:val="Bodytext2"/>
                <w:rFonts w:eastAsia="Arial Unicode MS"/>
                <w:b/>
                <w:sz w:val="24"/>
                <w:szCs w:val="24"/>
              </w:rPr>
              <w:t>8.853,03</w:t>
            </w:r>
          </w:p>
        </w:tc>
        <w:tc>
          <w:tcPr>
            <w:tcW w:w="0" w:type="auto"/>
            <w:vAlign w:val="center"/>
          </w:tcPr>
          <w:p w14:paraId="19BE26D6" w14:textId="77777777" w:rsidR="00B07621" w:rsidRPr="00492720" w:rsidRDefault="00B07621" w:rsidP="00275047">
            <w:pPr>
              <w:spacing w:before="60" w:after="60" w:line="276" w:lineRule="auto"/>
              <w:jc w:val="right"/>
              <w:rPr>
                <w:rStyle w:val="Bodytext2"/>
                <w:rFonts w:eastAsia="Arial Unicode MS"/>
                <w:b/>
                <w:sz w:val="24"/>
                <w:szCs w:val="24"/>
              </w:rPr>
            </w:pPr>
            <w:r w:rsidRPr="00492720">
              <w:rPr>
                <w:rStyle w:val="Bodytext2"/>
                <w:rFonts w:eastAsia="Arial Unicode MS"/>
                <w:b/>
                <w:sz w:val="24"/>
                <w:szCs w:val="24"/>
              </w:rPr>
              <w:t>9.735,20</w:t>
            </w:r>
          </w:p>
        </w:tc>
        <w:tc>
          <w:tcPr>
            <w:tcW w:w="0" w:type="auto"/>
            <w:vAlign w:val="center"/>
          </w:tcPr>
          <w:p w14:paraId="2EE4B1CA" w14:textId="77777777" w:rsidR="00B07621" w:rsidRPr="00492720" w:rsidRDefault="00B07621" w:rsidP="00275047">
            <w:pPr>
              <w:spacing w:before="60" w:after="60" w:line="276" w:lineRule="auto"/>
              <w:jc w:val="right"/>
              <w:rPr>
                <w:rStyle w:val="Bodytext2"/>
                <w:rFonts w:eastAsia="Arial Unicode MS"/>
                <w:b/>
                <w:sz w:val="24"/>
                <w:szCs w:val="24"/>
              </w:rPr>
            </w:pPr>
            <w:r w:rsidRPr="00492720">
              <w:rPr>
                <w:rStyle w:val="Bodytext2"/>
                <w:rFonts w:eastAsia="Arial Unicode MS"/>
                <w:b/>
                <w:sz w:val="24"/>
                <w:szCs w:val="24"/>
              </w:rPr>
              <w:t>9.644,72</w:t>
            </w:r>
          </w:p>
        </w:tc>
      </w:tr>
    </w:tbl>
    <w:p w14:paraId="16FD3F3C" w14:textId="77777777" w:rsidR="00B07621" w:rsidRPr="00B07621" w:rsidRDefault="00B07621" w:rsidP="00492720">
      <w:pPr>
        <w:tabs>
          <w:tab w:val="left" w:pos="851"/>
        </w:tabs>
        <w:spacing w:before="60" w:after="60" w:line="400" w:lineRule="exact"/>
        <w:contextualSpacing/>
        <w:jc w:val="both"/>
        <w:rPr>
          <w:b/>
          <w:sz w:val="26"/>
          <w:szCs w:val="26"/>
        </w:rPr>
      </w:pPr>
    </w:p>
    <w:p w14:paraId="0C6FAE6D" w14:textId="77777777" w:rsidR="00C96039" w:rsidRPr="00C96039" w:rsidRDefault="00B07621" w:rsidP="00C96039">
      <w:pPr>
        <w:tabs>
          <w:tab w:val="left" w:pos="851"/>
        </w:tabs>
        <w:spacing w:before="60" w:after="60" w:line="400" w:lineRule="exact"/>
        <w:ind w:firstLine="567"/>
        <w:contextualSpacing/>
        <w:jc w:val="both"/>
        <w:rPr>
          <w:b/>
          <w:sz w:val="26"/>
          <w:szCs w:val="26"/>
        </w:rPr>
      </w:pPr>
      <w:r w:rsidRPr="00E56AEB">
        <w:rPr>
          <w:b/>
          <w:sz w:val="26"/>
          <w:szCs w:val="26"/>
        </w:rPr>
        <w:t>2. Đánh giá chung</w:t>
      </w:r>
    </w:p>
    <w:p w14:paraId="338345F8" w14:textId="77777777" w:rsidR="00E415AE" w:rsidRPr="00E415AE" w:rsidRDefault="00E415AE" w:rsidP="00E415AE">
      <w:pPr>
        <w:tabs>
          <w:tab w:val="left" w:pos="709"/>
          <w:tab w:val="left" w:pos="851"/>
          <w:tab w:val="left" w:pos="993"/>
        </w:tabs>
        <w:spacing w:before="60" w:after="60" w:line="420" w:lineRule="exact"/>
        <w:ind w:firstLine="567"/>
        <w:contextualSpacing/>
        <w:jc w:val="both"/>
        <w:rPr>
          <w:b/>
          <w:i/>
          <w:sz w:val="26"/>
          <w:szCs w:val="26"/>
        </w:rPr>
      </w:pPr>
      <w:r w:rsidRPr="00E415AE">
        <w:rPr>
          <w:b/>
          <w:i/>
          <w:sz w:val="26"/>
          <w:szCs w:val="26"/>
        </w:rPr>
        <w:t>a. Thuận lợi, khó khăn; các nguyên nhân chủ quan, khách quan tác động đến việc thực hiện nhiệm vụ đào tạo</w:t>
      </w:r>
    </w:p>
    <w:p w14:paraId="4E2001AD" w14:textId="77777777" w:rsidR="00E415AE" w:rsidRPr="00435609" w:rsidRDefault="00213348" w:rsidP="00E415AE">
      <w:pPr>
        <w:tabs>
          <w:tab w:val="left" w:pos="851"/>
        </w:tabs>
        <w:spacing w:before="60" w:after="60" w:line="400" w:lineRule="exact"/>
        <w:contextualSpacing/>
        <w:jc w:val="both"/>
        <w:rPr>
          <w:sz w:val="26"/>
          <w:szCs w:val="26"/>
          <w:lang w:val="vi-VN"/>
        </w:rPr>
      </w:pPr>
      <w:r>
        <w:rPr>
          <w:rStyle w:val="Bodytext2"/>
          <w:rFonts w:eastAsia="Arial Unicode MS"/>
          <w:sz w:val="26"/>
          <w:szCs w:val="26"/>
          <w:lang w:bidi="en-US"/>
        </w:rPr>
        <w:tab/>
      </w:r>
      <w:r w:rsidR="00E415AE" w:rsidRPr="005F7F19">
        <w:rPr>
          <w:rStyle w:val="Bodytext2"/>
          <w:rFonts w:eastAsia="Arial Unicode MS"/>
          <w:sz w:val="26"/>
          <w:szCs w:val="26"/>
          <w:lang w:bidi="en-US"/>
        </w:rPr>
        <w:t xml:space="preserve">- </w:t>
      </w:r>
      <w:r w:rsidR="00E415AE" w:rsidRPr="005F7F19">
        <w:rPr>
          <w:rStyle w:val="Bodytext2"/>
          <w:rFonts w:eastAsia="Arial Unicode MS"/>
          <w:sz w:val="26"/>
          <w:szCs w:val="26"/>
        </w:rPr>
        <w:t xml:space="preserve">Sự lãnh đạo, chỉ đạo sâu sát của tập thể lãnh đạo Học viện (Đảng ủy, Hội đồng Học viện và Ban Giám đốc) và sự đồng thuận của cán bộ viên chức, người lao động và người học trong Học viện vê việc xây dựng, ban hành các quy định và triển khai thực hiện cơ chế tự chủ tài chính, tài sản trên cơ sở đảm bảo quy định và phù hợp với đặc điểm của từng đơn vị, năng lực, </w:t>
      </w:r>
      <w:r w:rsidR="00E415AE" w:rsidRPr="005F7F19">
        <w:rPr>
          <w:rStyle w:val="Bodytext2"/>
          <w:rFonts w:eastAsia="Arial Unicode MS"/>
          <w:bCs/>
          <w:sz w:val="26"/>
          <w:szCs w:val="26"/>
        </w:rPr>
        <w:t xml:space="preserve">sở </w:t>
      </w:r>
      <w:r w:rsidR="00E415AE" w:rsidRPr="005F7F19">
        <w:rPr>
          <w:rStyle w:val="Bodytext2"/>
          <w:rFonts w:eastAsia="Arial Unicode MS"/>
          <w:sz w:val="26"/>
          <w:szCs w:val="26"/>
        </w:rPr>
        <w:t>trường của các nhóm cán bộ viên chức và người lao động.</w:t>
      </w:r>
    </w:p>
    <w:p w14:paraId="3CED27BC" w14:textId="77777777" w:rsidR="00E415AE" w:rsidRPr="00435609" w:rsidRDefault="00E415AE" w:rsidP="00E415AE">
      <w:pPr>
        <w:tabs>
          <w:tab w:val="left" w:pos="851"/>
        </w:tabs>
        <w:spacing w:before="60" w:after="60" w:line="400" w:lineRule="exact"/>
        <w:ind w:firstLine="567"/>
        <w:contextualSpacing/>
        <w:jc w:val="both"/>
        <w:rPr>
          <w:sz w:val="26"/>
          <w:szCs w:val="26"/>
          <w:lang w:val="vi-VN"/>
        </w:rPr>
      </w:pPr>
      <w:r w:rsidRPr="005F7F19">
        <w:rPr>
          <w:rStyle w:val="Bodytext2"/>
          <w:rFonts w:eastAsia="Arial Unicode MS"/>
          <w:sz w:val="26"/>
          <w:szCs w:val="26"/>
        </w:rPr>
        <w:lastRenderedPageBreak/>
        <w:t xml:space="preserve">- Có mạng lưới kết nối với doanh nghiệp, hợp tác xã để thúc đẩy các hoạt động đào tạo, nghiên cứu khoa học theo cơ chế đặt hàng và các hoạt động </w:t>
      </w:r>
      <w:r w:rsidRPr="00435609">
        <w:rPr>
          <w:rStyle w:val="Bodytext2"/>
          <w:rFonts w:eastAsia="Arial Unicode MS"/>
          <w:sz w:val="26"/>
          <w:szCs w:val="26"/>
        </w:rPr>
        <w:t>sản xuất kinh doanh</w:t>
      </w:r>
      <w:r w:rsidRPr="005F7F19">
        <w:rPr>
          <w:rStyle w:val="Bodytext2"/>
          <w:rFonts w:eastAsia="Arial Unicode MS"/>
          <w:sz w:val="26"/>
          <w:szCs w:val="26"/>
        </w:rPr>
        <w:t>, dịch vụ đáp ứng nhu cầu xã hội.</w:t>
      </w:r>
    </w:p>
    <w:p w14:paraId="711A21A0" w14:textId="77777777" w:rsidR="00E415AE" w:rsidRPr="00435609" w:rsidRDefault="00E415AE" w:rsidP="00E415AE">
      <w:pPr>
        <w:tabs>
          <w:tab w:val="left" w:pos="851"/>
        </w:tabs>
        <w:spacing w:before="60" w:after="60" w:line="400" w:lineRule="exact"/>
        <w:ind w:firstLine="567"/>
        <w:contextualSpacing/>
        <w:jc w:val="both"/>
        <w:rPr>
          <w:sz w:val="26"/>
          <w:szCs w:val="26"/>
          <w:lang w:val="vi-VN"/>
        </w:rPr>
      </w:pPr>
      <w:r w:rsidRPr="005F7F19">
        <w:rPr>
          <w:rStyle w:val="Bodytext2"/>
          <w:rFonts w:eastAsia="Arial Unicode MS"/>
          <w:sz w:val="26"/>
          <w:szCs w:val="26"/>
        </w:rPr>
        <w:t>- Sự quan tâm, hướng dần chi tiết thực hiện tự chủ về tài chính và tình hình thực hiện các dự án đầu tư công trung hạn của Bộ NN&amp;PTNT và các Bộ, ngành, cơ quan chức năng có liên quan.</w:t>
      </w:r>
    </w:p>
    <w:p w14:paraId="1288D829" w14:textId="77777777" w:rsidR="00E415AE" w:rsidRPr="00435609" w:rsidRDefault="00E415AE" w:rsidP="00E415AE">
      <w:pPr>
        <w:tabs>
          <w:tab w:val="left" w:pos="709"/>
          <w:tab w:val="left" w:pos="851"/>
          <w:tab w:val="left" w:pos="993"/>
        </w:tabs>
        <w:spacing w:before="60" w:after="60" w:line="420" w:lineRule="exact"/>
        <w:contextualSpacing/>
        <w:jc w:val="both"/>
        <w:rPr>
          <w:b/>
          <w:i/>
          <w:sz w:val="26"/>
          <w:szCs w:val="26"/>
          <w:lang w:val="vi-VN"/>
        </w:rPr>
      </w:pPr>
      <w:r w:rsidRPr="00435609">
        <w:rPr>
          <w:sz w:val="26"/>
          <w:szCs w:val="26"/>
          <w:lang w:val="vi-VN"/>
        </w:rPr>
        <w:tab/>
      </w:r>
      <w:r w:rsidRPr="00435609">
        <w:rPr>
          <w:b/>
          <w:i/>
          <w:sz w:val="26"/>
          <w:szCs w:val="26"/>
          <w:lang w:val="vi-VN"/>
        </w:rPr>
        <w:t>b. Đánh giá chung về kết quả đạt được, những tồn tại hạn chế trong việc tổ chức thực hiện nhiệm vụ đào tạo</w:t>
      </w:r>
    </w:p>
    <w:p w14:paraId="26D95910" w14:textId="77777777" w:rsidR="00C96039" w:rsidRPr="00435609" w:rsidRDefault="00C96039" w:rsidP="00213551">
      <w:pPr>
        <w:tabs>
          <w:tab w:val="left" w:pos="709"/>
          <w:tab w:val="left" w:pos="851"/>
          <w:tab w:val="left" w:pos="993"/>
        </w:tabs>
        <w:spacing w:before="60" w:after="60" w:line="420" w:lineRule="exact"/>
        <w:ind w:firstLine="567"/>
        <w:contextualSpacing/>
        <w:jc w:val="both"/>
        <w:rPr>
          <w:sz w:val="26"/>
          <w:szCs w:val="26"/>
          <w:lang w:val="vi-VN"/>
        </w:rPr>
      </w:pPr>
      <w:r w:rsidRPr="00435609">
        <w:rPr>
          <w:sz w:val="26"/>
          <w:szCs w:val="26"/>
          <w:lang w:val="vi-VN"/>
        </w:rPr>
        <w:t>Trong giai đoạn 2022-2024, với sự nỗ lực và quyết tâm cao của tập thể lãnh đạo và toàn thể CBCCVC của Học viện, về cơ bản Học viện đã hoàn thành các nhiệm vụ trọng tâm đề ra. Học viện đã phát huy vai trò trong việc định hướng và hoạch định kế hoạch chiến lược, các chương trình, đề án lớn của Học viện. Hệ thống văn bản phục vụ công tác lãnh đạo, quản lý được hoàn thiện. Công tác quản lý, điều hành Học viện được thực hiện công khai, dân chủ, minh bạch. Hệ thống tổ chức của Học viện được cơ cấu hợp lý, đúng quy định của pháp luật và hoạt động hiệu quả, phù hợp với quy mô và sự phát triển. Công tác thực hiện tự chủ và các chương trình kế hoạch công tác của Đảng ủy chỉ đạo được thực hiện nghiêm túc, kịp thời, cơ bản đạt và vượt chỉ tiêu đề ra. CBVC, đảng viên và người học có phẩm chất đạo đức tốt, tư tưởng chính trị vững vàng, trong sáng. Công tác đào tạo được đổi mới theo hướng nâng cao chất lượng, đa dạng hóa ngành đào tạo; tăng cường thực hành, thực tập, liên kết doanh nghiệp, địa phương để nâng cao chất lượng. Công tác khoa học công nghệ đã có nhiều khởi sắc, đặc biệt các chương trình nghiên cứu khoa học và chuyển giao công nghệ với địa phương, doanh nghiệp đã được đẩy mạnh trong nhiệm kỳ nhưng còn chưa tương xứng với tiềm năng của Học viện. Công tác hợp tác quốc tế đã được đẩy mạnh trong nhiệm kỳ với số chương trình, đề tài, dự án quốc tế tăng lên; đặc biệt việc triển khai thực hiện dự án WB đã tạo diện mạo mới về cơ sở vật chất cho Học viện. Công tác đầu tư xây dựng cơ sở hạ tầng, cải tạo cảnh quan môi trường đã được đặc biệt quan tâm, thúc đẩy; công tác xã hội hóa các hoạt động của Học viện được triển khai thường xuyên trong suốt nhiệm kỳ. Công tác truyền thông quảng bá Học viện trong nước và quốc tế được đẩy mạnh, thông qua nhiều sự kiện, nhiều chương trình công tác đã góp phần nâng cao vị thế, uy tín, thương hiệu của Học viện.</w:t>
      </w:r>
    </w:p>
    <w:p w14:paraId="7B3A8F2E" w14:textId="77777777" w:rsidR="00213551" w:rsidRPr="00213551" w:rsidRDefault="00E33A21" w:rsidP="00213551">
      <w:pPr>
        <w:spacing w:before="60" w:after="60" w:line="420" w:lineRule="exact"/>
        <w:ind w:firstLine="720"/>
        <w:jc w:val="both"/>
        <w:textAlignment w:val="baseline"/>
        <w:rPr>
          <w:sz w:val="26"/>
          <w:szCs w:val="26"/>
          <w:lang w:val="de-DE"/>
        </w:rPr>
      </w:pPr>
      <w:r w:rsidRPr="00213551">
        <w:rPr>
          <w:sz w:val="26"/>
          <w:szCs w:val="26"/>
          <w:lang w:val="de-DE"/>
        </w:rPr>
        <w:t xml:space="preserve">Bên cạnh các kết quả đã đạt được, </w:t>
      </w:r>
      <w:r w:rsidR="00213551" w:rsidRPr="00213551">
        <w:rPr>
          <w:sz w:val="26"/>
          <w:szCs w:val="26"/>
          <w:lang w:val="de-DE"/>
        </w:rPr>
        <w:t>vẫn còn một số hạn chế, khó khăn sau:</w:t>
      </w:r>
    </w:p>
    <w:p w14:paraId="1093C5C9" w14:textId="77777777" w:rsidR="00213551" w:rsidRPr="00213551" w:rsidRDefault="00213551" w:rsidP="00213551">
      <w:pPr>
        <w:spacing w:before="60" w:after="60" w:line="420" w:lineRule="exact"/>
        <w:ind w:firstLine="720"/>
        <w:jc w:val="both"/>
        <w:textAlignment w:val="baseline"/>
        <w:rPr>
          <w:sz w:val="26"/>
          <w:szCs w:val="26"/>
          <w:lang w:val="vi-VN"/>
        </w:rPr>
      </w:pPr>
      <w:r w:rsidRPr="00213551">
        <w:rPr>
          <w:sz w:val="26"/>
          <w:szCs w:val="26"/>
          <w:lang w:val="de-DE"/>
        </w:rPr>
        <w:t>+ C</w:t>
      </w:r>
      <w:r w:rsidR="00E415AE" w:rsidRPr="00435609">
        <w:rPr>
          <w:color w:val="000000" w:themeColor="text1"/>
          <w:sz w:val="26"/>
          <w:szCs w:val="26"/>
          <w:shd w:val="clear" w:color="auto" w:fill="FFFFFF" w:themeFill="background1"/>
          <w:lang w:val="de-DE"/>
        </w:rPr>
        <w:t>ông tác tuyển sinh trong những năm gần đây gặp nhiều khó khăn, người học không thiết tha với những ngành truyền thống khối nông nghiệp.</w:t>
      </w:r>
      <w:r w:rsidR="00E33A21" w:rsidRPr="00213551">
        <w:rPr>
          <w:sz w:val="26"/>
          <w:szCs w:val="26"/>
          <w:lang w:val="vi-VN"/>
        </w:rPr>
        <w:t xml:space="preserve"> </w:t>
      </w:r>
    </w:p>
    <w:p w14:paraId="10175D0E" w14:textId="77777777" w:rsidR="00213551" w:rsidRPr="00435609" w:rsidRDefault="00213551" w:rsidP="00213551">
      <w:pPr>
        <w:spacing w:before="60" w:after="60" w:line="420" w:lineRule="exact"/>
        <w:ind w:firstLine="720"/>
        <w:jc w:val="both"/>
        <w:textAlignment w:val="baseline"/>
        <w:rPr>
          <w:sz w:val="26"/>
          <w:szCs w:val="26"/>
          <w:lang w:val="vi-VN"/>
        </w:rPr>
      </w:pPr>
      <w:r w:rsidRPr="00435609">
        <w:rPr>
          <w:sz w:val="26"/>
          <w:szCs w:val="26"/>
          <w:lang w:val="vi-VN"/>
        </w:rPr>
        <w:lastRenderedPageBreak/>
        <w:t xml:space="preserve">+ </w:t>
      </w:r>
      <w:r w:rsidR="00E33A21" w:rsidRPr="00213551">
        <w:rPr>
          <w:sz w:val="26"/>
          <w:szCs w:val="26"/>
          <w:lang w:val="de-DE"/>
        </w:rPr>
        <w:t>Việc</w:t>
      </w:r>
      <w:r w:rsidR="00E33A21" w:rsidRPr="00213551">
        <w:rPr>
          <w:sz w:val="26"/>
          <w:szCs w:val="26"/>
          <w:lang w:val="vi-VN"/>
        </w:rPr>
        <w:t xml:space="preserve"> thực hiện tự chủ trong công tác </w:t>
      </w:r>
      <w:r w:rsidR="00213348" w:rsidRPr="00435609">
        <w:rPr>
          <w:sz w:val="26"/>
          <w:szCs w:val="26"/>
          <w:lang w:val="vi-VN"/>
        </w:rPr>
        <w:t>hợp tác quốc tế</w:t>
      </w:r>
      <w:r w:rsidR="00E33A21" w:rsidRPr="00213551">
        <w:rPr>
          <w:sz w:val="26"/>
          <w:szCs w:val="26"/>
          <w:lang w:val="vi-VN"/>
        </w:rPr>
        <w:t xml:space="preserve"> là yêu cầu quan trọng nhằm thúc đẩy hội nhập quốc tế, tuy nhiên </w:t>
      </w:r>
      <w:r w:rsidR="00E33A21" w:rsidRPr="00213551">
        <w:rPr>
          <w:sz w:val="26"/>
          <w:szCs w:val="26"/>
          <w:lang w:val="de-DE"/>
        </w:rPr>
        <w:t>Chính</w:t>
      </w:r>
      <w:r w:rsidR="00E33A21" w:rsidRPr="00213551">
        <w:rPr>
          <w:sz w:val="26"/>
          <w:szCs w:val="26"/>
          <w:lang w:val="vi-VN"/>
        </w:rPr>
        <w:t xml:space="preserve"> phủ và các Bộ ngành liên quan chưa có văn bản hướng dẫn </w:t>
      </w:r>
      <w:r w:rsidR="00E33A21" w:rsidRPr="00213551">
        <w:rPr>
          <w:sz w:val="26"/>
          <w:szCs w:val="26"/>
          <w:lang w:val="de-DE"/>
        </w:rPr>
        <w:t>chi tiết các trường</w:t>
      </w:r>
      <w:r w:rsidR="00E33A21" w:rsidRPr="00213551">
        <w:rPr>
          <w:sz w:val="26"/>
          <w:szCs w:val="26"/>
          <w:lang w:val="vi-VN"/>
        </w:rPr>
        <w:t xml:space="preserve"> đại học thực hiện tự chủ</w:t>
      </w:r>
      <w:r w:rsidR="00213348">
        <w:rPr>
          <w:sz w:val="26"/>
          <w:szCs w:val="26"/>
          <w:lang w:val="vi-VN"/>
        </w:rPr>
        <w:t xml:space="preserve"> trong công tác hợp tác quốc tế.</w:t>
      </w:r>
    </w:p>
    <w:p w14:paraId="6B599BEE" w14:textId="77777777" w:rsidR="00213551" w:rsidRPr="00435609" w:rsidRDefault="00213551" w:rsidP="00213551">
      <w:pPr>
        <w:spacing w:before="60" w:after="60" w:line="420" w:lineRule="exact"/>
        <w:ind w:firstLine="720"/>
        <w:jc w:val="both"/>
        <w:textAlignment w:val="baseline"/>
        <w:rPr>
          <w:sz w:val="26"/>
          <w:szCs w:val="26"/>
          <w:lang w:val="vi-VN"/>
        </w:rPr>
      </w:pPr>
      <w:r w:rsidRPr="00435609">
        <w:rPr>
          <w:sz w:val="26"/>
          <w:szCs w:val="26"/>
          <w:lang w:val="vi-VN"/>
        </w:rPr>
        <w:t>+ Kinh phí dành cho nghiên cứu khoa học còn nhiều hạn chế, eo hẹp, do vậy đề tài nghiên cứu so với số lượng cán bộ nghiên cứu rất thấp vì vậy chưa phát huy được hết tiềm năng khoa học của đội ngũ nghiên cứu. Thiếu nguồn kinh phí thường xuyên để phục công tác lưu giữ, bảo tồn, phát triển các nguồn gen đặc hữu trong nông nghiệp</w:t>
      </w:r>
    </w:p>
    <w:p w14:paraId="67BFDBFD" w14:textId="77777777" w:rsidR="00213551" w:rsidRPr="00435609" w:rsidRDefault="00213551" w:rsidP="00213551">
      <w:pPr>
        <w:spacing w:before="60" w:after="60" w:line="420" w:lineRule="exact"/>
        <w:ind w:firstLine="720"/>
        <w:jc w:val="both"/>
        <w:textAlignment w:val="baseline"/>
        <w:rPr>
          <w:sz w:val="26"/>
          <w:szCs w:val="26"/>
          <w:lang w:val="vi-VN"/>
        </w:rPr>
      </w:pPr>
      <w:r w:rsidRPr="00435609">
        <w:rPr>
          <w:sz w:val="26"/>
          <w:szCs w:val="26"/>
          <w:lang w:val="vi-VN"/>
        </w:rPr>
        <w:t>+ Việc triển khai thủ tục đấu thầu, mua sắm nguyên vật liệu, hóa chất cần nhiều thời gian, làm ảnh hưởng đến tiến độ, tính cấp thiết của nghiên cứu, đặc biệt là các yếu tố mang tính chất mùa vụ trong nông nghiệp.</w:t>
      </w:r>
    </w:p>
    <w:p w14:paraId="466773B8" w14:textId="77777777" w:rsidR="00213551" w:rsidRPr="00435609" w:rsidRDefault="00213551" w:rsidP="00213551">
      <w:pPr>
        <w:spacing w:before="60" w:after="60" w:line="420" w:lineRule="exact"/>
        <w:ind w:firstLine="720"/>
        <w:jc w:val="both"/>
        <w:textAlignment w:val="baseline"/>
        <w:rPr>
          <w:sz w:val="26"/>
          <w:szCs w:val="26"/>
          <w:lang w:val="vi-VN"/>
        </w:rPr>
      </w:pPr>
      <w:r w:rsidRPr="00435609">
        <w:rPr>
          <w:sz w:val="26"/>
          <w:szCs w:val="26"/>
          <w:lang w:val="vi-VN"/>
        </w:rPr>
        <w:t>+ Việc giao khoán đến sản phẩm cuối cùng còn gặp nhiều khó khăn (do thiếu các văn bản hướng dẫn thực hiện cụ thể, hiện tại hồ sơ, thủ tục hành chính để triển khai nhiệm vụ Khoán chi từng phần và Khoán đến sản phẩm cuối cùng là giống nhau).</w:t>
      </w:r>
    </w:p>
    <w:p w14:paraId="09CF2886" w14:textId="77777777" w:rsidR="00213551" w:rsidRPr="00435609" w:rsidRDefault="00213551" w:rsidP="00213551">
      <w:pPr>
        <w:spacing w:before="60" w:after="60" w:line="420" w:lineRule="exact"/>
        <w:ind w:firstLine="720"/>
        <w:jc w:val="both"/>
        <w:textAlignment w:val="baseline"/>
        <w:rPr>
          <w:sz w:val="26"/>
          <w:szCs w:val="26"/>
          <w:lang w:val="vi-VN"/>
        </w:rPr>
      </w:pPr>
      <w:r w:rsidRPr="00435609">
        <w:rPr>
          <w:sz w:val="26"/>
          <w:szCs w:val="26"/>
          <w:lang w:val="vi-VN"/>
        </w:rPr>
        <w:t>+ Việc định giá, giao quyền sử dụng tài sản hình thành từ nhiệm vụ KH&amp;CN sử dụng ngân sách nhà nước còn nhiều vướng mắc vì vậy nhiều kết quả nghiên cứu chưa được chuyển giao, ứng dụng kịp thời vào sản xuất; chưa phát huy được hiệu quả sau nghiên cứu</w:t>
      </w:r>
      <w:r w:rsidR="00213348" w:rsidRPr="00435609">
        <w:rPr>
          <w:sz w:val="26"/>
          <w:szCs w:val="26"/>
          <w:lang w:val="vi-VN"/>
        </w:rPr>
        <w:t>.</w:t>
      </w:r>
    </w:p>
    <w:p w14:paraId="6B524583" w14:textId="77777777" w:rsidR="00E33A21" w:rsidRPr="00435609" w:rsidRDefault="00213551" w:rsidP="00213551">
      <w:pPr>
        <w:spacing w:before="60" w:after="60" w:line="420" w:lineRule="exact"/>
        <w:ind w:firstLine="720"/>
        <w:jc w:val="both"/>
        <w:textAlignment w:val="baseline"/>
        <w:rPr>
          <w:sz w:val="26"/>
          <w:szCs w:val="26"/>
          <w:lang w:val="vi-VN"/>
        </w:rPr>
      </w:pPr>
      <w:r w:rsidRPr="00435609">
        <w:rPr>
          <w:sz w:val="26"/>
          <w:szCs w:val="26"/>
          <w:lang w:val="vi-VN"/>
        </w:rPr>
        <w:t>+ Việc thành lập, góp vốn, tổ chức hoạt động của các doanh nghiệp khởi nguồn trên cơ sở kết quả nghiên cứu từ viện nghiên cứu, trường đại học nói chung và trong lĩnh vực nông nghiệp nói riêng còn nhiều vướng mắc vì còn tồn tại sự khác biệt khá lớn, thiếu đồng bộ giữa các quy định pháp lý trong Luật Giáo dục đại học, Luật Công chức, viên chức, Ph</w:t>
      </w:r>
      <w:r w:rsidR="00213348" w:rsidRPr="00435609">
        <w:rPr>
          <w:sz w:val="26"/>
          <w:szCs w:val="26"/>
          <w:lang w:val="vi-VN"/>
        </w:rPr>
        <w:t>áp luật về quản lý tài sản công</w:t>
      </w:r>
      <w:r w:rsidRPr="00435609">
        <w:rPr>
          <w:sz w:val="26"/>
          <w:szCs w:val="26"/>
          <w:lang w:val="vi-VN"/>
        </w:rPr>
        <w:t>...</w:t>
      </w:r>
    </w:p>
    <w:p w14:paraId="4E41B291" w14:textId="77777777" w:rsidR="002D0E91" w:rsidRPr="00435609" w:rsidRDefault="002D0E91" w:rsidP="00213551">
      <w:pPr>
        <w:spacing w:before="60" w:after="60" w:line="420" w:lineRule="exact"/>
        <w:ind w:firstLine="720"/>
        <w:jc w:val="both"/>
        <w:textAlignment w:val="baseline"/>
        <w:rPr>
          <w:sz w:val="26"/>
          <w:szCs w:val="26"/>
          <w:lang w:val="vi-VN"/>
        </w:rPr>
      </w:pPr>
    </w:p>
    <w:p w14:paraId="496C47CE" w14:textId="77777777" w:rsidR="00E415AE" w:rsidRPr="00435609" w:rsidRDefault="00B07621" w:rsidP="007350D7">
      <w:pPr>
        <w:tabs>
          <w:tab w:val="left" w:pos="851"/>
        </w:tabs>
        <w:spacing w:before="60" w:after="60" w:line="400" w:lineRule="exact"/>
        <w:ind w:firstLine="567"/>
        <w:contextualSpacing/>
        <w:jc w:val="both"/>
        <w:rPr>
          <w:b/>
          <w:sz w:val="26"/>
          <w:szCs w:val="26"/>
          <w:lang w:val="vi-VN"/>
        </w:rPr>
      </w:pPr>
      <w:r w:rsidRPr="00435609">
        <w:rPr>
          <w:b/>
          <w:sz w:val="26"/>
          <w:szCs w:val="26"/>
          <w:lang w:val="vi-VN"/>
        </w:rPr>
        <w:t>3. Phương hướng, giải pháp và các đề xuất, kiến nghị</w:t>
      </w:r>
    </w:p>
    <w:p w14:paraId="5A0B8F96" w14:textId="77777777" w:rsidR="00F22C74" w:rsidRDefault="00517EE3" w:rsidP="00517EE3">
      <w:pPr>
        <w:tabs>
          <w:tab w:val="left" w:pos="709"/>
          <w:tab w:val="left" w:pos="810"/>
        </w:tabs>
        <w:spacing w:before="60" w:after="60" w:line="360" w:lineRule="exact"/>
        <w:ind w:firstLine="567"/>
        <w:contextualSpacing/>
        <w:jc w:val="both"/>
        <w:rPr>
          <w:sz w:val="26"/>
          <w:szCs w:val="26"/>
          <w:lang w:val="nb-NO"/>
        </w:rPr>
      </w:pPr>
      <w:r>
        <w:rPr>
          <w:sz w:val="26"/>
          <w:szCs w:val="26"/>
          <w:lang w:val="nb-NO"/>
        </w:rPr>
        <w:t xml:space="preserve">- </w:t>
      </w:r>
      <w:r w:rsidRPr="00A20849">
        <w:rPr>
          <w:sz w:val="26"/>
          <w:szCs w:val="26"/>
          <w:lang w:val="nb-NO"/>
        </w:rPr>
        <w:t>Tiếp tục nâng cao chất lượng đào tạo và tăng cường đổi mới chương trình đào tạo</w:t>
      </w:r>
      <w:r>
        <w:rPr>
          <w:sz w:val="26"/>
          <w:szCs w:val="26"/>
          <w:lang w:val="nb-NO"/>
        </w:rPr>
        <w:t>;</w:t>
      </w:r>
      <w:r w:rsidRPr="00A20849">
        <w:rPr>
          <w:sz w:val="26"/>
          <w:szCs w:val="26"/>
          <w:lang w:val="nb-NO"/>
        </w:rPr>
        <w:t xml:space="preserve"> </w:t>
      </w:r>
      <w:r>
        <w:rPr>
          <w:sz w:val="26"/>
          <w:szCs w:val="26"/>
          <w:lang w:val="nb-NO"/>
        </w:rPr>
        <w:t xml:space="preserve">duy trì, </w:t>
      </w:r>
      <w:r w:rsidRPr="00A20849">
        <w:rPr>
          <w:sz w:val="26"/>
          <w:szCs w:val="26"/>
          <w:lang w:val="nb-NO"/>
        </w:rPr>
        <w:t>mở ngành mới phù hợp với nhu cầu thực tế của xã hội</w:t>
      </w:r>
      <w:r>
        <w:rPr>
          <w:sz w:val="26"/>
          <w:szCs w:val="26"/>
          <w:lang w:val="nb-NO"/>
        </w:rPr>
        <w:t>;</w:t>
      </w:r>
      <w:r w:rsidRPr="00A20849">
        <w:rPr>
          <w:sz w:val="26"/>
          <w:szCs w:val="26"/>
          <w:lang w:val="nb-NO"/>
        </w:rPr>
        <w:t xml:space="preserve"> tuyển si</w:t>
      </w:r>
      <w:r w:rsidR="00F22C74">
        <w:rPr>
          <w:sz w:val="26"/>
          <w:szCs w:val="26"/>
          <w:lang w:val="nb-NO"/>
        </w:rPr>
        <w:t>nh các hệ đào tạo của Học viện.</w:t>
      </w:r>
    </w:p>
    <w:p w14:paraId="089060F6" w14:textId="77777777" w:rsidR="00517EE3" w:rsidRPr="00A20849" w:rsidRDefault="00F22C74" w:rsidP="00517EE3">
      <w:pPr>
        <w:tabs>
          <w:tab w:val="left" w:pos="709"/>
          <w:tab w:val="left" w:pos="810"/>
        </w:tabs>
        <w:spacing w:before="60" w:after="60" w:line="360" w:lineRule="exact"/>
        <w:ind w:firstLine="567"/>
        <w:contextualSpacing/>
        <w:jc w:val="both"/>
        <w:rPr>
          <w:sz w:val="26"/>
          <w:szCs w:val="26"/>
          <w:lang w:val="nb-NO"/>
        </w:rPr>
      </w:pPr>
      <w:r>
        <w:rPr>
          <w:sz w:val="26"/>
          <w:szCs w:val="26"/>
          <w:lang w:val="nb-NO"/>
        </w:rPr>
        <w:t>- T</w:t>
      </w:r>
      <w:r w:rsidR="00517EE3" w:rsidRPr="00A20849">
        <w:rPr>
          <w:sz w:val="26"/>
          <w:szCs w:val="26"/>
          <w:lang w:val="nb-NO"/>
        </w:rPr>
        <w:t xml:space="preserve">iếp tục kiểm định các chương trình đào </w:t>
      </w:r>
      <w:r w:rsidR="00517EE3">
        <w:rPr>
          <w:sz w:val="26"/>
          <w:szCs w:val="26"/>
          <w:lang w:val="nb-NO"/>
        </w:rPr>
        <w:t>t</w:t>
      </w:r>
      <w:r w:rsidR="00517EE3" w:rsidRPr="00A20849">
        <w:rPr>
          <w:sz w:val="26"/>
          <w:szCs w:val="26"/>
          <w:lang w:val="nb-NO"/>
        </w:rPr>
        <w:t>ạo</w:t>
      </w:r>
      <w:r w:rsidR="00517EE3">
        <w:rPr>
          <w:sz w:val="26"/>
          <w:szCs w:val="26"/>
          <w:lang w:val="nb-NO"/>
        </w:rPr>
        <w:t xml:space="preserve"> theo chuẩn quốc tế</w:t>
      </w:r>
      <w:r w:rsidR="00517EE3" w:rsidRPr="00A20849">
        <w:rPr>
          <w:sz w:val="26"/>
          <w:szCs w:val="26"/>
          <w:lang w:val="nb-NO"/>
        </w:rPr>
        <w:t xml:space="preserve">; </w:t>
      </w:r>
      <w:r w:rsidR="00517EE3">
        <w:rPr>
          <w:sz w:val="26"/>
          <w:szCs w:val="26"/>
          <w:lang w:val="nb-NO"/>
        </w:rPr>
        <w:t xml:space="preserve">tích cực </w:t>
      </w:r>
      <w:r w:rsidR="00517EE3" w:rsidRPr="00A20849">
        <w:rPr>
          <w:sz w:val="26"/>
          <w:szCs w:val="26"/>
          <w:lang w:val="nb-NO"/>
        </w:rPr>
        <w:t xml:space="preserve">đổi mới công tác quảng bá tuyển sinh </w:t>
      </w:r>
      <w:r w:rsidR="00517EE3">
        <w:rPr>
          <w:sz w:val="26"/>
          <w:szCs w:val="26"/>
          <w:lang w:val="nb-NO"/>
        </w:rPr>
        <w:t>trong nước và quốc tế</w:t>
      </w:r>
      <w:r w:rsidR="00517EE3" w:rsidRPr="00A20849">
        <w:rPr>
          <w:sz w:val="26"/>
          <w:szCs w:val="26"/>
          <w:lang w:val="nb-NO"/>
        </w:rPr>
        <w:t xml:space="preserve">. </w:t>
      </w:r>
    </w:p>
    <w:p w14:paraId="25E46D53" w14:textId="77777777" w:rsidR="00517EE3" w:rsidRDefault="00517EE3" w:rsidP="00517EE3">
      <w:pPr>
        <w:tabs>
          <w:tab w:val="left" w:pos="709"/>
          <w:tab w:val="left" w:pos="810"/>
        </w:tabs>
        <w:spacing w:before="60" w:after="60" w:line="360" w:lineRule="exact"/>
        <w:ind w:firstLine="567"/>
        <w:contextualSpacing/>
        <w:jc w:val="both"/>
        <w:rPr>
          <w:sz w:val="26"/>
          <w:szCs w:val="26"/>
          <w:lang w:val="nb-NO"/>
        </w:rPr>
      </w:pPr>
      <w:r>
        <w:rPr>
          <w:sz w:val="26"/>
          <w:szCs w:val="26"/>
          <w:lang w:val="nb-NO"/>
        </w:rPr>
        <w:t>-</w:t>
      </w:r>
      <w:r w:rsidRPr="00A20849">
        <w:rPr>
          <w:sz w:val="26"/>
          <w:szCs w:val="26"/>
          <w:lang w:val="nb-NO"/>
        </w:rPr>
        <w:t xml:space="preserve"> </w:t>
      </w:r>
      <w:r>
        <w:rPr>
          <w:sz w:val="26"/>
          <w:szCs w:val="26"/>
          <w:lang w:val="nb-NO"/>
        </w:rPr>
        <w:t xml:space="preserve">Đẩy mạnh </w:t>
      </w:r>
      <w:r w:rsidRPr="00A20849">
        <w:rPr>
          <w:sz w:val="26"/>
          <w:szCs w:val="26"/>
          <w:lang w:val="nb-NO"/>
        </w:rPr>
        <w:t xml:space="preserve"> </w:t>
      </w:r>
      <w:r>
        <w:rPr>
          <w:sz w:val="26"/>
          <w:szCs w:val="26"/>
          <w:lang w:val="nb-NO"/>
        </w:rPr>
        <w:t>nghiên cứu khoa học</w:t>
      </w:r>
      <w:r w:rsidRPr="00A20849">
        <w:rPr>
          <w:sz w:val="26"/>
          <w:szCs w:val="26"/>
          <w:lang w:val="nb-NO"/>
        </w:rPr>
        <w:t xml:space="preserve">, tăng cường hoạt động của các nhóm </w:t>
      </w:r>
      <w:r>
        <w:rPr>
          <w:sz w:val="26"/>
          <w:szCs w:val="26"/>
          <w:lang w:val="nb-NO"/>
        </w:rPr>
        <w:t xml:space="preserve">nghiên cứu mạnh, </w:t>
      </w:r>
      <w:r w:rsidRPr="00A20849">
        <w:rPr>
          <w:sz w:val="26"/>
          <w:szCs w:val="26"/>
          <w:lang w:val="nb-NO"/>
        </w:rPr>
        <w:t xml:space="preserve">tinh hoa, xuất sắc, đặc biệt có nhiều chính sách thúc đẩy thương mại hóa sản phẩm </w:t>
      </w:r>
      <w:r>
        <w:rPr>
          <w:sz w:val="26"/>
          <w:szCs w:val="26"/>
          <w:lang w:val="nb-NO"/>
        </w:rPr>
        <w:t>khoa học công nghệ</w:t>
      </w:r>
      <w:r w:rsidRPr="00A20849">
        <w:rPr>
          <w:sz w:val="26"/>
          <w:szCs w:val="26"/>
          <w:lang w:val="nb-NO"/>
        </w:rPr>
        <w:t xml:space="preserve">, tăng cường </w:t>
      </w:r>
      <w:r>
        <w:rPr>
          <w:sz w:val="26"/>
          <w:szCs w:val="26"/>
          <w:lang w:val="nb-NO"/>
        </w:rPr>
        <w:t xml:space="preserve">đổi mới sáng tạo </w:t>
      </w:r>
      <w:r w:rsidRPr="00A20849">
        <w:rPr>
          <w:sz w:val="26"/>
          <w:szCs w:val="26"/>
          <w:lang w:val="nb-NO"/>
        </w:rPr>
        <w:t>và chuyển giao công nghệ</w:t>
      </w:r>
      <w:r>
        <w:rPr>
          <w:sz w:val="26"/>
          <w:szCs w:val="26"/>
          <w:lang w:val="nb-NO"/>
        </w:rPr>
        <w:t xml:space="preserve"> vào thực tiễn sản xuất.</w:t>
      </w:r>
    </w:p>
    <w:p w14:paraId="4742C638" w14:textId="77777777" w:rsidR="00E4050E" w:rsidRPr="00435609" w:rsidRDefault="00E4050E" w:rsidP="00517EE3">
      <w:pPr>
        <w:tabs>
          <w:tab w:val="left" w:pos="709"/>
          <w:tab w:val="left" w:pos="810"/>
        </w:tabs>
        <w:spacing w:before="60" w:after="60" w:line="360" w:lineRule="exact"/>
        <w:ind w:firstLine="567"/>
        <w:contextualSpacing/>
        <w:jc w:val="both"/>
        <w:rPr>
          <w:color w:val="000000" w:themeColor="text1"/>
          <w:sz w:val="26"/>
          <w:szCs w:val="26"/>
          <w:shd w:val="clear" w:color="auto" w:fill="FFFFFF" w:themeFill="background1"/>
          <w:lang w:val="nb-NO"/>
        </w:rPr>
      </w:pPr>
      <w:r w:rsidRPr="00496A18">
        <w:rPr>
          <w:sz w:val="26"/>
          <w:szCs w:val="26"/>
          <w:lang w:val="nb-NO"/>
        </w:rPr>
        <w:lastRenderedPageBreak/>
        <w:t>-</w:t>
      </w:r>
      <w:r w:rsidRPr="00435609">
        <w:rPr>
          <w:color w:val="000000" w:themeColor="text1"/>
          <w:sz w:val="26"/>
          <w:szCs w:val="26"/>
          <w:shd w:val="clear" w:color="auto" w:fill="FFFFFF" w:themeFill="background1"/>
          <w:lang w:val="nb-NO"/>
        </w:rPr>
        <w:t xml:space="preserve"> Tăng cường trang bị cơ sở vật chất phục vụ đào tạo và nghiên cứu khoa học, chuyển giao công nghệ.</w:t>
      </w:r>
    </w:p>
    <w:p w14:paraId="67BB2D9B" w14:textId="77777777" w:rsidR="007B571A" w:rsidRPr="00435609" w:rsidRDefault="00496A18" w:rsidP="00213551">
      <w:pPr>
        <w:tabs>
          <w:tab w:val="left" w:pos="709"/>
          <w:tab w:val="left" w:pos="810"/>
        </w:tabs>
        <w:spacing w:before="60" w:after="60" w:line="360" w:lineRule="exact"/>
        <w:ind w:firstLine="567"/>
        <w:contextualSpacing/>
        <w:jc w:val="both"/>
        <w:rPr>
          <w:color w:val="000000"/>
          <w:sz w:val="26"/>
          <w:szCs w:val="26"/>
          <w:lang w:val="nb-NO"/>
        </w:rPr>
      </w:pPr>
      <w:r w:rsidRPr="00435609">
        <w:rPr>
          <w:color w:val="000000" w:themeColor="text1"/>
          <w:sz w:val="26"/>
          <w:szCs w:val="26"/>
          <w:shd w:val="clear" w:color="auto" w:fill="FFFFFF" w:themeFill="background1"/>
          <w:lang w:val="nb-NO"/>
        </w:rPr>
        <w:t xml:space="preserve">- </w:t>
      </w:r>
      <w:r w:rsidRPr="00435609">
        <w:rPr>
          <w:color w:val="000000"/>
          <w:sz w:val="26"/>
          <w:szCs w:val="26"/>
          <w:lang w:val="nb-NO"/>
        </w:rPr>
        <w:t>Kết nối với mạng lưới doanh nghiệp, hợp tác xã để thúc đẩy các hoạt động đào tạo và nghiên cứu khoa học theo cơ chế đặt hàng, thương mại hóa sản phẩm khoa học công nghệ…</w:t>
      </w:r>
    </w:p>
    <w:p w14:paraId="12D1764B" w14:textId="77777777" w:rsidR="00B07621" w:rsidRPr="00435609" w:rsidRDefault="00B07621">
      <w:pPr>
        <w:rPr>
          <w:lang w:val="nb-NO"/>
        </w:rPr>
      </w:pPr>
    </w:p>
    <w:p w14:paraId="08B3CCB4" w14:textId="77777777" w:rsidR="00B07621" w:rsidRPr="00435609" w:rsidRDefault="00B07621">
      <w:pPr>
        <w:rPr>
          <w:lang w:val="nb-NO"/>
        </w:rPr>
      </w:pPr>
    </w:p>
    <w:tbl>
      <w:tblPr>
        <w:tblStyle w:val="TableGrid"/>
        <w:tblW w:w="9367"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127"/>
      </w:tblGrid>
      <w:tr w:rsidR="00B07621" w:rsidRPr="005663D6" w14:paraId="7F2D9D28" w14:textId="77777777" w:rsidTr="00275047">
        <w:tc>
          <w:tcPr>
            <w:tcW w:w="5240" w:type="dxa"/>
          </w:tcPr>
          <w:p w14:paraId="74C0C45E" w14:textId="77777777" w:rsidR="00B07621" w:rsidRPr="005663D6" w:rsidRDefault="00B07621" w:rsidP="00275047">
            <w:pPr>
              <w:pStyle w:val="ListParagraph"/>
              <w:tabs>
                <w:tab w:val="left" w:pos="709"/>
                <w:tab w:val="left" w:pos="851"/>
              </w:tabs>
              <w:spacing w:before="60" w:after="60" w:line="380" w:lineRule="exact"/>
              <w:ind w:hanging="686"/>
              <w:jc w:val="both"/>
              <w:rPr>
                <w:rFonts w:ascii="Times New Roman" w:hAnsi="Times New Roman" w:cs="Times New Roman"/>
                <w:b/>
                <w:lang w:val="es-ES"/>
              </w:rPr>
            </w:pPr>
            <w:r w:rsidRPr="005663D6">
              <w:rPr>
                <w:rFonts w:ascii="Times New Roman" w:hAnsi="Times New Roman" w:cs="Times New Roman"/>
                <w:b/>
                <w:i/>
                <w:lang w:val="es-ES"/>
              </w:rPr>
              <w:t>Nơi nhận:</w:t>
            </w:r>
          </w:p>
          <w:p w14:paraId="223A4615" w14:textId="77777777" w:rsidR="00B07621" w:rsidRPr="0010710C" w:rsidRDefault="00B07621" w:rsidP="00275047">
            <w:pPr>
              <w:pStyle w:val="ListParagraph"/>
              <w:spacing w:before="60" w:after="60"/>
              <w:ind w:hanging="686"/>
              <w:jc w:val="both"/>
              <w:rPr>
                <w:rFonts w:ascii="Times New Roman" w:hAnsi="Times New Roman" w:cs="Times New Roman"/>
                <w:sz w:val="20"/>
                <w:szCs w:val="20"/>
                <w:lang w:val="es-ES"/>
              </w:rPr>
            </w:pPr>
            <w:r w:rsidRPr="0010710C">
              <w:rPr>
                <w:rFonts w:ascii="Times New Roman" w:hAnsi="Times New Roman" w:cs="Times New Roman"/>
                <w:sz w:val="20"/>
                <w:szCs w:val="20"/>
                <w:lang w:val="es-ES"/>
              </w:rPr>
              <w:t>- Bộ NN&amp;PTNT (để b/c);</w:t>
            </w:r>
          </w:p>
          <w:p w14:paraId="309F57E4" w14:textId="77777777" w:rsidR="00B07621" w:rsidRPr="0010710C" w:rsidRDefault="00B07621" w:rsidP="00275047">
            <w:pPr>
              <w:pStyle w:val="ListParagraph"/>
              <w:spacing w:before="60" w:after="60"/>
              <w:ind w:hanging="686"/>
              <w:jc w:val="both"/>
              <w:rPr>
                <w:rFonts w:ascii="Times New Roman" w:hAnsi="Times New Roman" w:cs="Times New Roman"/>
                <w:sz w:val="20"/>
                <w:szCs w:val="20"/>
              </w:rPr>
            </w:pPr>
            <w:r w:rsidRPr="0010710C">
              <w:rPr>
                <w:rFonts w:ascii="Times New Roman" w:hAnsi="Times New Roman" w:cs="Times New Roman"/>
                <w:sz w:val="20"/>
                <w:szCs w:val="20"/>
              </w:rPr>
              <w:t>- Lưu VT, NHY (3).</w:t>
            </w:r>
          </w:p>
          <w:p w14:paraId="6BFB8B82"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2C23F795"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7ADDE49E"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2D988B45"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502391EF"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7FA25CAE"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12CA7DC5"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7D479A19"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3EEF9F60"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09C20E1B"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74A3C852"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4A48D990"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67CF592E" w14:textId="77777777" w:rsidR="00B07621" w:rsidRPr="002D0E91" w:rsidRDefault="00B07621" w:rsidP="002D0E91">
            <w:pPr>
              <w:tabs>
                <w:tab w:val="left" w:pos="567"/>
                <w:tab w:val="left" w:pos="993"/>
              </w:tabs>
              <w:spacing w:before="60" w:after="60" w:line="380" w:lineRule="exact"/>
              <w:jc w:val="both"/>
              <w:rPr>
                <w:sz w:val="28"/>
                <w:szCs w:val="28"/>
              </w:rPr>
            </w:pPr>
          </w:p>
          <w:p w14:paraId="189D1AD2" w14:textId="77777777" w:rsidR="00B07621" w:rsidRPr="005663D6" w:rsidRDefault="00B07621" w:rsidP="00275047">
            <w:pPr>
              <w:pStyle w:val="ListParagraph"/>
              <w:tabs>
                <w:tab w:val="left" w:pos="567"/>
                <w:tab w:val="left" w:pos="993"/>
              </w:tabs>
              <w:spacing w:before="60" w:after="60" w:line="380" w:lineRule="exact"/>
              <w:ind w:left="-108"/>
              <w:jc w:val="both"/>
              <w:rPr>
                <w:rFonts w:ascii="Times New Roman" w:hAnsi="Times New Roman" w:cs="Times New Roman"/>
                <w:sz w:val="28"/>
                <w:szCs w:val="28"/>
              </w:rPr>
            </w:pPr>
          </w:p>
          <w:p w14:paraId="5E1AAD59" w14:textId="77777777" w:rsidR="00B07621" w:rsidRPr="005663D6" w:rsidRDefault="00B07621" w:rsidP="00275047">
            <w:pPr>
              <w:tabs>
                <w:tab w:val="left" w:pos="567"/>
                <w:tab w:val="left" w:pos="993"/>
              </w:tabs>
              <w:spacing w:before="60" w:after="60" w:line="380" w:lineRule="exact"/>
              <w:contextualSpacing/>
              <w:jc w:val="both"/>
              <w:rPr>
                <w:sz w:val="28"/>
                <w:szCs w:val="28"/>
              </w:rPr>
            </w:pPr>
          </w:p>
          <w:p w14:paraId="40791EFA" w14:textId="77777777" w:rsidR="00B07621" w:rsidRPr="005663D6" w:rsidRDefault="00B07621" w:rsidP="00275047">
            <w:pPr>
              <w:tabs>
                <w:tab w:val="left" w:pos="567"/>
                <w:tab w:val="left" w:pos="993"/>
              </w:tabs>
              <w:spacing w:before="60" w:after="60" w:line="380" w:lineRule="exact"/>
              <w:contextualSpacing/>
              <w:jc w:val="both"/>
              <w:rPr>
                <w:sz w:val="28"/>
                <w:szCs w:val="28"/>
              </w:rPr>
            </w:pPr>
          </w:p>
        </w:tc>
        <w:tc>
          <w:tcPr>
            <w:tcW w:w="4127" w:type="dxa"/>
          </w:tcPr>
          <w:p w14:paraId="01A62907" w14:textId="77777777" w:rsidR="00B07621" w:rsidRDefault="00B07621" w:rsidP="00275047">
            <w:pPr>
              <w:pStyle w:val="ListParagraph"/>
              <w:tabs>
                <w:tab w:val="left" w:pos="567"/>
                <w:tab w:val="left" w:pos="993"/>
              </w:tabs>
              <w:spacing w:before="60" w:after="60" w:line="380" w:lineRule="exact"/>
              <w:ind w:left="0"/>
              <w:rPr>
                <w:rFonts w:ascii="Times New Roman" w:hAnsi="Times New Roman" w:cs="Times New Roman"/>
                <w:b/>
                <w:sz w:val="28"/>
                <w:szCs w:val="28"/>
                <w:lang w:val="es-ES"/>
              </w:rPr>
            </w:pPr>
            <w:r w:rsidRPr="005663D6">
              <w:rPr>
                <w:rFonts w:ascii="Times New Roman" w:hAnsi="Times New Roman" w:cs="Times New Roman"/>
                <w:b/>
                <w:sz w:val="28"/>
                <w:szCs w:val="28"/>
                <w:lang w:val="es-ES"/>
              </w:rPr>
              <w:t xml:space="preserve"> </w:t>
            </w:r>
            <w:r w:rsidR="00733CA3">
              <w:rPr>
                <w:rFonts w:ascii="Times New Roman" w:hAnsi="Times New Roman" w:cs="Times New Roman"/>
                <w:b/>
                <w:sz w:val="28"/>
                <w:szCs w:val="28"/>
                <w:lang w:val="es-ES"/>
              </w:rPr>
              <w:t xml:space="preserve">KT. </w:t>
            </w:r>
            <w:r w:rsidRPr="005663D6">
              <w:rPr>
                <w:rFonts w:ascii="Times New Roman" w:hAnsi="Times New Roman" w:cs="Times New Roman"/>
                <w:b/>
                <w:sz w:val="28"/>
                <w:szCs w:val="28"/>
                <w:lang w:val="es-ES"/>
              </w:rPr>
              <w:t>GIÁM ĐỐC</w:t>
            </w:r>
          </w:p>
          <w:p w14:paraId="5E809A9A" w14:textId="77777777" w:rsidR="00733CA3" w:rsidRDefault="00733CA3" w:rsidP="00275047">
            <w:pPr>
              <w:pStyle w:val="ListParagraph"/>
              <w:tabs>
                <w:tab w:val="left" w:pos="567"/>
                <w:tab w:val="left" w:pos="993"/>
              </w:tabs>
              <w:spacing w:before="60" w:after="60" w:line="380" w:lineRule="exact"/>
              <w:ind w:left="0"/>
              <w:rPr>
                <w:rFonts w:ascii="Times New Roman" w:hAnsi="Times New Roman" w:cs="Times New Roman"/>
                <w:b/>
                <w:sz w:val="28"/>
                <w:szCs w:val="28"/>
                <w:lang w:val="es-ES"/>
              </w:rPr>
            </w:pPr>
            <w:r>
              <w:rPr>
                <w:rFonts w:ascii="Times New Roman" w:hAnsi="Times New Roman" w:cs="Times New Roman"/>
                <w:b/>
                <w:sz w:val="28"/>
                <w:szCs w:val="28"/>
                <w:lang w:val="es-ES"/>
              </w:rPr>
              <w:t>PHÓ GIÁM ĐỐC</w:t>
            </w:r>
          </w:p>
          <w:p w14:paraId="06B7F478" w14:textId="77777777" w:rsidR="00733CA3" w:rsidRDefault="00733CA3" w:rsidP="00275047">
            <w:pPr>
              <w:pStyle w:val="ListParagraph"/>
              <w:tabs>
                <w:tab w:val="left" w:pos="567"/>
                <w:tab w:val="left" w:pos="993"/>
              </w:tabs>
              <w:spacing w:before="60" w:after="60" w:line="380" w:lineRule="exact"/>
              <w:ind w:left="0"/>
              <w:rPr>
                <w:rFonts w:ascii="Times New Roman" w:hAnsi="Times New Roman" w:cs="Times New Roman"/>
                <w:b/>
                <w:sz w:val="28"/>
                <w:szCs w:val="28"/>
                <w:lang w:val="es-ES"/>
              </w:rPr>
            </w:pPr>
          </w:p>
          <w:p w14:paraId="5A2A5B76" w14:textId="77777777" w:rsidR="00733CA3" w:rsidRDefault="00733CA3" w:rsidP="00275047">
            <w:pPr>
              <w:pStyle w:val="ListParagraph"/>
              <w:tabs>
                <w:tab w:val="left" w:pos="567"/>
                <w:tab w:val="left" w:pos="993"/>
              </w:tabs>
              <w:spacing w:before="60" w:after="60" w:line="380" w:lineRule="exact"/>
              <w:ind w:left="0"/>
              <w:rPr>
                <w:rFonts w:ascii="Times New Roman" w:hAnsi="Times New Roman" w:cs="Times New Roman"/>
                <w:b/>
                <w:sz w:val="28"/>
                <w:szCs w:val="28"/>
                <w:lang w:val="es-ES"/>
              </w:rPr>
            </w:pPr>
          </w:p>
          <w:p w14:paraId="26039CBA" w14:textId="77777777" w:rsidR="00733CA3" w:rsidRDefault="00733CA3" w:rsidP="00275047">
            <w:pPr>
              <w:pStyle w:val="ListParagraph"/>
              <w:tabs>
                <w:tab w:val="left" w:pos="567"/>
                <w:tab w:val="left" w:pos="993"/>
              </w:tabs>
              <w:spacing w:before="60" w:after="60" w:line="380" w:lineRule="exact"/>
              <w:ind w:left="0"/>
              <w:rPr>
                <w:rFonts w:ascii="Times New Roman" w:hAnsi="Times New Roman" w:cs="Times New Roman"/>
                <w:b/>
                <w:sz w:val="28"/>
                <w:szCs w:val="28"/>
                <w:lang w:val="es-ES"/>
              </w:rPr>
            </w:pPr>
          </w:p>
          <w:p w14:paraId="73A063C2" w14:textId="77777777" w:rsidR="00733CA3" w:rsidRDefault="00733CA3" w:rsidP="00275047">
            <w:pPr>
              <w:pStyle w:val="ListParagraph"/>
              <w:tabs>
                <w:tab w:val="left" w:pos="567"/>
                <w:tab w:val="left" w:pos="993"/>
              </w:tabs>
              <w:spacing w:before="60" w:after="60" w:line="380" w:lineRule="exact"/>
              <w:ind w:left="0"/>
              <w:rPr>
                <w:rFonts w:ascii="Times New Roman" w:hAnsi="Times New Roman" w:cs="Times New Roman"/>
                <w:b/>
                <w:sz w:val="28"/>
                <w:szCs w:val="28"/>
                <w:lang w:val="es-ES"/>
              </w:rPr>
            </w:pPr>
          </w:p>
          <w:p w14:paraId="6B2001A9" w14:textId="77777777" w:rsidR="00733CA3" w:rsidRDefault="00733CA3" w:rsidP="00275047">
            <w:pPr>
              <w:pStyle w:val="ListParagraph"/>
              <w:tabs>
                <w:tab w:val="left" w:pos="567"/>
                <w:tab w:val="left" w:pos="993"/>
              </w:tabs>
              <w:spacing w:before="60" w:after="60" w:line="380" w:lineRule="exact"/>
              <w:ind w:left="0"/>
              <w:rPr>
                <w:rFonts w:ascii="Times New Roman" w:hAnsi="Times New Roman" w:cs="Times New Roman"/>
                <w:b/>
                <w:sz w:val="28"/>
                <w:szCs w:val="28"/>
                <w:lang w:val="es-ES"/>
              </w:rPr>
            </w:pPr>
            <w:r>
              <w:rPr>
                <w:rFonts w:ascii="Times New Roman" w:hAnsi="Times New Roman" w:cs="Times New Roman"/>
                <w:b/>
                <w:sz w:val="28"/>
                <w:szCs w:val="28"/>
                <w:lang w:val="es-ES"/>
              </w:rPr>
              <w:t>Nguyễn Công Tiệp</w:t>
            </w:r>
          </w:p>
          <w:p w14:paraId="45EC97B8" w14:textId="77777777" w:rsidR="002D0E91" w:rsidRDefault="002D0E91" w:rsidP="00275047">
            <w:pPr>
              <w:pStyle w:val="ListParagraph"/>
              <w:tabs>
                <w:tab w:val="left" w:pos="567"/>
                <w:tab w:val="left" w:pos="993"/>
              </w:tabs>
              <w:spacing w:before="60" w:after="60" w:line="380" w:lineRule="exact"/>
              <w:ind w:left="0"/>
              <w:rPr>
                <w:rFonts w:ascii="Times New Roman" w:hAnsi="Times New Roman" w:cs="Times New Roman"/>
                <w:b/>
                <w:sz w:val="28"/>
                <w:szCs w:val="28"/>
                <w:lang w:val="es-ES"/>
              </w:rPr>
            </w:pPr>
          </w:p>
          <w:p w14:paraId="20855A44" w14:textId="77777777" w:rsidR="002D0E91" w:rsidRDefault="002D0E91" w:rsidP="00275047">
            <w:pPr>
              <w:pStyle w:val="ListParagraph"/>
              <w:tabs>
                <w:tab w:val="left" w:pos="567"/>
                <w:tab w:val="left" w:pos="993"/>
              </w:tabs>
              <w:spacing w:before="60" w:after="60" w:line="380" w:lineRule="exact"/>
              <w:ind w:left="0"/>
              <w:rPr>
                <w:rFonts w:ascii="Times New Roman" w:hAnsi="Times New Roman" w:cs="Times New Roman"/>
                <w:b/>
                <w:sz w:val="28"/>
                <w:szCs w:val="28"/>
                <w:lang w:val="es-ES"/>
              </w:rPr>
            </w:pPr>
          </w:p>
          <w:p w14:paraId="36E4B62D" w14:textId="77777777" w:rsidR="002D0E91" w:rsidRPr="005663D6" w:rsidRDefault="002D0E91" w:rsidP="00275047">
            <w:pPr>
              <w:pStyle w:val="ListParagraph"/>
              <w:tabs>
                <w:tab w:val="left" w:pos="567"/>
                <w:tab w:val="left" w:pos="993"/>
              </w:tabs>
              <w:spacing w:before="60" w:after="60" w:line="380" w:lineRule="exact"/>
              <w:ind w:left="0"/>
              <w:rPr>
                <w:rFonts w:ascii="Times New Roman" w:hAnsi="Times New Roman" w:cs="Times New Roman"/>
                <w:sz w:val="28"/>
                <w:szCs w:val="28"/>
              </w:rPr>
            </w:pPr>
          </w:p>
        </w:tc>
      </w:tr>
    </w:tbl>
    <w:p w14:paraId="13F30C4F" w14:textId="77777777" w:rsidR="00B07621" w:rsidRDefault="00B07621"/>
    <w:sectPr w:rsidR="00B07621" w:rsidSect="00E56AEB">
      <w:head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5D11E" w14:textId="77777777" w:rsidR="00F13CCF" w:rsidRDefault="00F13CCF" w:rsidP="00E56AEB">
      <w:r>
        <w:separator/>
      </w:r>
    </w:p>
  </w:endnote>
  <w:endnote w:type="continuationSeparator" w:id="0">
    <w:p w14:paraId="3C0C22A7" w14:textId="77777777" w:rsidR="00F13CCF" w:rsidRDefault="00F13CCF" w:rsidP="00E56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8597C" w14:textId="77777777" w:rsidR="00F13CCF" w:rsidRDefault="00F13CCF" w:rsidP="00E56AEB">
      <w:r>
        <w:separator/>
      </w:r>
    </w:p>
  </w:footnote>
  <w:footnote w:type="continuationSeparator" w:id="0">
    <w:p w14:paraId="42872552" w14:textId="77777777" w:rsidR="00F13CCF" w:rsidRDefault="00F13CCF" w:rsidP="00E56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1631040"/>
      <w:docPartObj>
        <w:docPartGallery w:val="Page Numbers (Top of Page)"/>
        <w:docPartUnique/>
      </w:docPartObj>
    </w:sdtPr>
    <w:sdtEndPr>
      <w:rPr>
        <w:noProof/>
      </w:rPr>
    </w:sdtEndPr>
    <w:sdtContent>
      <w:p w14:paraId="05AC9E3C" w14:textId="77777777" w:rsidR="00E56AEB" w:rsidRDefault="00E56AEB">
        <w:pPr>
          <w:pStyle w:val="Header"/>
          <w:jc w:val="center"/>
        </w:pPr>
        <w:r>
          <w:fldChar w:fldCharType="begin"/>
        </w:r>
        <w:r>
          <w:instrText xml:space="preserve"> PAGE   \* MERGEFORMAT </w:instrText>
        </w:r>
        <w:r>
          <w:fldChar w:fldCharType="separate"/>
        </w:r>
        <w:r w:rsidR="003F5784">
          <w:rPr>
            <w:noProof/>
          </w:rPr>
          <w:t>3</w:t>
        </w:r>
        <w:r>
          <w:rPr>
            <w:noProof/>
          </w:rPr>
          <w:fldChar w:fldCharType="end"/>
        </w:r>
      </w:p>
    </w:sdtContent>
  </w:sdt>
  <w:p w14:paraId="4A3F1E04" w14:textId="77777777" w:rsidR="00E56AEB" w:rsidRDefault="00E56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6406D"/>
    <w:multiLevelType w:val="hybridMultilevel"/>
    <w:tmpl w:val="B330CA00"/>
    <w:lvl w:ilvl="0" w:tplc="804422C8">
      <w:start w:val="1"/>
      <w:numFmt w:val="upp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 w15:restartNumberingAfterBreak="0">
    <w:nsid w:val="191442BA"/>
    <w:multiLevelType w:val="hybridMultilevel"/>
    <w:tmpl w:val="2EA615E8"/>
    <w:lvl w:ilvl="0" w:tplc="34F0587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465704"/>
    <w:multiLevelType w:val="multilevel"/>
    <w:tmpl w:val="DBBEB304"/>
    <w:lvl w:ilvl="0">
      <w:start w:val="1"/>
      <w:numFmt w:val="decimal"/>
      <w:lvlText w:val="%1."/>
      <w:lvlJc w:val="left"/>
      <w:rPr>
        <w:rFonts w:ascii="Times New Roman" w:eastAsia="Times New Roman" w:hAnsi="Times New Roman" w:cs="Times New Roman"/>
        <w:b/>
        <w:bCs/>
        <w:i w:val="0"/>
        <w:iCs w:val="0"/>
        <w:smallCaps w:val="0"/>
        <w:strike w:val="0"/>
        <w:color w:val="0E1527"/>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E23F44"/>
    <w:multiLevelType w:val="multilevel"/>
    <w:tmpl w:val="8BBC46D2"/>
    <w:lvl w:ilvl="0">
      <w:start w:val="2"/>
      <w:numFmt w:val="upperRoman"/>
      <w:lvlText w:val="%1."/>
      <w:lvlJc w:val="left"/>
      <w:rPr>
        <w:rFonts w:ascii="Times New Roman" w:eastAsia="Times New Roman" w:hAnsi="Times New Roman" w:cs="Times New Roman"/>
        <w:b/>
        <w:bCs/>
        <w:i w:val="0"/>
        <w:iCs w:val="0"/>
        <w:smallCaps w:val="0"/>
        <w:strike w:val="0"/>
        <w:color w:val="0E1527"/>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FB4B58"/>
    <w:multiLevelType w:val="hybridMultilevel"/>
    <w:tmpl w:val="2BAEF706"/>
    <w:lvl w:ilvl="0" w:tplc="8B861918">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8C63D73"/>
    <w:multiLevelType w:val="hybridMultilevel"/>
    <w:tmpl w:val="F5E62790"/>
    <w:lvl w:ilvl="0" w:tplc="F28C8ADE">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9A31BA"/>
    <w:multiLevelType w:val="hybridMultilevel"/>
    <w:tmpl w:val="23CCC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8049CE"/>
    <w:multiLevelType w:val="hybridMultilevel"/>
    <w:tmpl w:val="4D785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416118">
    <w:abstractNumId w:val="6"/>
  </w:num>
  <w:num w:numId="2" w16cid:durableId="330304742">
    <w:abstractNumId w:val="7"/>
  </w:num>
  <w:num w:numId="3" w16cid:durableId="373702575">
    <w:abstractNumId w:val="4"/>
  </w:num>
  <w:num w:numId="4" w16cid:durableId="1585802227">
    <w:abstractNumId w:val="5"/>
  </w:num>
  <w:num w:numId="5" w16cid:durableId="2087728522">
    <w:abstractNumId w:val="0"/>
  </w:num>
  <w:num w:numId="6" w16cid:durableId="957179463">
    <w:abstractNumId w:val="3"/>
  </w:num>
  <w:num w:numId="7" w16cid:durableId="1922565032">
    <w:abstractNumId w:val="2"/>
  </w:num>
  <w:num w:numId="8" w16cid:durableId="1833830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621"/>
    <w:rsid w:val="00023DD6"/>
    <w:rsid w:val="000329D9"/>
    <w:rsid w:val="00090AB4"/>
    <w:rsid w:val="000B5987"/>
    <w:rsid w:val="000C3751"/>
    <w:rsid w:val="000C51D6"/>
    <w:rsid w:val="00110B74"/>
    <w:rsid w:val="0013511B"/>
    <w:rsid w:val="00171BB0"/>
    <w:rsid w:val="001A3CE5"/>
    <w:rsid w:val="001F1374"/>
    <w:rsid w:val="001F611C"/>
    <w:rsid w:val="00213348"/>
    <w:rsid w:val="00213551"/>
    <w:rsid w:val="002325C7"/>
    <w:rsid w:val="002920E8"/>
    <w:rsid w:val="002D0E91"/>
    <w:rsid w:val="003547FE"/>
    <w:rsid w:val="003700BA"/>
    <w:rsid w:val="003F5784"/>
    <w:rsid w:val="00435609"/>
    <w:rsid w:val="004438DF"/>
    <w:rsid w:val="00470C97"/>
    <w:rsid w:val="00492720"/>
    <w:rsid w:val="00496A18"/>
    <w:rsid w:val="00517EE3"/>
    <w:rsid w:val="00564653"/>
    <w:rsid w:val="005808BB"/>
    <w:rsid w:val="006012CD"/>
    <w:rsid w:val="00637A76"/>
    <w:rsid w:val="006909C3"/>
    <w:rsid w:val="00692ECA"/>
    <w:rsid w:val="006B03AC"/>
    <w:rsid w:val="00733CA3"/>
    <w:rsid w:val="007350D7"/>
    <w:rsid w:val="00740F17"/>
    <w:rsid w:val="007B405D"/>
    <w:rsid w:val="007B571A"/>
    <w:rsid w:val="007F00C6"/>
    <w:rsid w:val="008466F7"/>
    <w:rsid w:val="008C1B4A"/>
    <w:rsid w:val="009479A2"/>
    <w:rsid w:val="00A04717"/>
    <w:rsid w:val="00A35C81"/>
    <w:rsid w:val="00A4029E"/>
    <w:rsid w:val="00A6039D"/>
    <w:rsid w:val="00A847C7"/>
    <w:rsid w:val="00B07621"/>
    <w:rsid w:val="00BE7130"/>
    <w:rsid w:val="00C44258"/>
    <w:rsid w:val="00C46CF0"/>
    <w:rsid w:val="00C55E01"/>
    <w:rsid w:val="00C96039"/>
    <w:rsid w:val="00CC24B8"/>
    <w:rsid w:val="00D42EC2"/>
    <w:rsid w:val="00D769F0"/>
    <w:rsid w:val="00E22F1D"/>
    <w:rsid w:val="00E33A21"/>
    <w:rsid w:val="00E4050E"/>
    <w:rsid w:val="00E415AE"/>
    <w:rsid w:val="00E56AEB"/>
    <w:rsid w:val="00E82717"/>
    <w:rsid w:val="00E8792C"/>
    <w:rsid w:val="00EA32FD"/>
    <w:rsid w:val="00EC6D02"/>
    <w:rsid w:val="00F13CCF"/>
    <w:rsid w:val="00F22C74"/>
    <w:rsid w:val="00F87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0FEE"/>
  <w15:chartTrackingRefBased/>
  <w15:docId w15:val="{EE5AB400-85D9-46A6-AF53-C2DBD666E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62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1.1.1,Main numbered paragraph"/>
    <w:basedOn w:val="Normal"/>
    <w:link w:val="ListParagraphChar"/>
    <w:qFormat/>
    <w:rsid w:val="00B07621"/>
    <w:pPr>
      <w:ind w:left="720"/>
      <w:contextualSpacing/>
    </w:pPr>
    <w:rPr>
      <w:rFonts w:asciiTheme="minorHAnsi" w:eastAsiaTheme="minorEastAsia" w:hAnsiTheme="minorHAnsi" w:cstheme="minorBidi"/>
      <w:kern w:val="2"/>
      <w:lang w:eastAsia="ja-JP"/>
      <w14:ligatures w14:val="standardContextual"/>
    </w:rPr>
  </w:style>
  <w:style w:type="table" w:styleId="TableGrid">
    <w:name w:val="Table Grid"/>
    <w:basedOn w:val="TableNormal"/>
    <w:uiPriority w:val="39"/>
    <w:rsid w:val="00B07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DefaultParagraphFont"/>
    <w:rsid w:val="00B076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Bodytext2Italic">
    <w:name w:val="Body text (2) + Italic"/>
    <w:basedOn w:val="DefaultParagraphFont"/>
    <w:rsid w:val="00B07621"/>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paragraph" w:styleId="NormalWeb">
    <w:name w:val="Normal (Web)"/>
    <w:basedOn w:val="Normal"/>
    <w:link w:val="NormalWebChar"/>
    <w:unhideWhenUsed/>
    <w:rsid w:val="00110B74"/>
    <w:pPr>
      <w:spacing w:before="100" w:beforeAutospacing="1" w:after="100" w:afterAutospacing="1"/>
    </w:pPr>
    <w:rPr>
      <w:lang w:eastAsia="ja-JP"/>
    </w:rPr>
  </w:style>
  <w:style w:type="character" w:customStyle="1" w:styleId="NormalWebChar">
    <w:name w:val="Normal (Web) Char"/>
    <w:link w:val="NormalWeb"/>
    <w:locked/>
    <w:rsid w:val="00110B74"/>
    <w:rPr>
      <w:rFonts w:ascii="Times New Roman" w:eastAsia="Times New Roman" w:hAnsi="Times New Roman" w:cs="Times New Roman"/>
      <w:sz w:val="24"/>
      <w:szCs w:val="24"/>
      <w:lang w:eastAsia="ja-JP"/>
    </w:rPr>
  </w:style>
  <w:style w:type="character" w:customStyle="1" w:styleId="Vnbnnidung">
    <w:name w:val="Văn bản nội dung_"/>
    <w:link w:val="Vnbnnidung0"/>
    <w:uiPriority w:val="99"/>
    <w:rsid w:val="000C3751"/>
    <w:rPr>
      <w:sz w:val="26"/>
      <w:szCs w:val="26"/>
    </w:rPr>
  </w:style>
  <w:style w:type="paragraph" w:customStyle="1" w:styleId="Vnbnnidung0">
    <w:name w:val="Văn bản nội dung"/>
    <w:basedOn w:val="Normal"/>
    <w:link w:val="Vnbnnidung"/>
    <w:uiPriority w:val="99"/>
    <w:rsid w:val="000C3751"/>
    <w:pPr>
      <w:widowControl w:val="0"/>
      <w:spacing w:after="240" w:line="283" w:lineRule="auto"/>
      <w:ind w:firstLine="400"/>
    </w:pPr>
    <w:rPr>
      <w:rFonts w:asciiTheme="minorHAnsi" w:eastAsiaTheme="minorHAnsi" w:hAnsiTheme="minorHAnsi" w:cstheme="minorBidi"/>
      <w:sz w:val="26"/>
      <w:szCs w:val="26"/>
    </w:rPr>
  </w:style>
  <w:style w:type="paragraph" w:styleId="Header">
    <w:name w:val="header"/>
    <w:basedOn w:val="Normal"/>
    <w:link w:val="HeaderChar"/>
    <w:unhideWhenUsed/>
    <w:rsid w:val="00E56AEB"/>
    <w:pPr>
      <w:tabs>
        <w:tab w:val="center" w:pos="4680"/>
        <w:tab w:val="right" w:pos="9360"/>
      </w:tabs>
    </w:pPr>
  </w:style>
  <w:style w:type="character" w:customStyle="1" w:styleId="HeaderChar">
    <w:name w:val="Header Char"/>
    <w:basedOn w:val="DefaultParagraphFont"/>
    <w:link w:val="Header"/>
    <w:rsid w:val="00E56AE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56AEB"/>
    <w:pPr>
      <w:tabs>
        <w:tab w:val="center" w:pos="4680"/>
        <w:tab w:val="right" w:pos="9360"/>
      </w:tabs>
    </w:pPr>
  </w:style>
  <w:style w:type="character" w:customStyle="1" w:styleId="FooterChar">
    <w:name w:val="Footer Char"/>
    <w:basedOn w:val="DefaultParagraphFont"/>
    <w:link w:val="Footer"/>
    <w:uiPriority w:val="99"/>
    <w:rsid w:val="00E56AEB"/>
    <w:rPr>
      <w:rFonts w:ascii="Times New Roman" w:eastAsia="Times New Roman" w:hAnsi="Times New Roman" w:cs="Times New Roman"/>
      <w:sz w:val="24"/>
      <w:szCs w:val="24"/>
    </w:rPr>
  </w:style>
  <w:style w:type="character" w:customStyle="1" w:styleId="Bodytext5">
    <w:name w:val="Body text (5)"/>
    <w:basedOn w:val="DefaultParagraphFont"/>
    <w:rsid w:val="00E415AE"/>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ListParagraphChar">
    <w:name w:val="List Paragraph Char"/>
    <w:aliases w:val="1.1.1.1 Char,Main numbered paragraph Char"/>
    <w:link w:val="ListParagraph"/>
    <w:rsid w:val="007B571A"/>
    <w:rPr>
      <w:rFonts w:eastAsiaTheme="minorEastAsia"/>
      <w:kern w:val="2"/>
      <w:sz w:val="24"/>
      <w:szCs w:val="24"/>
      <w:lang w:eastAsia="ja-JP"/>
      <w14:ligatures w14:val="standardContextual"/>
    </w:rPr>
  </w:style>
  <w:style w:type="paragraph" w:styleId="BalloonText">
    <w:name w:val="Balloon Text"/>
    <w:basedOn w:val="Normal"/>
    <w:link w:val="BalloonTextChar"/>
    <w:uiPriority w:val="99"/>
    <w:semiHidden/>
    <w:unhideWhenUsed/>
    <w:rsid w:val="00733C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CA3"/>
    <w:rPr>
      <w:rFonts w:ascii="Segoe UI" w:eastAsia="Times New Roman" w:hAnsi="Segoe UI" w:cs="Segoe UI"/>
      <w:sz w:val="18"/>
      <w:szCs w:val="18"/>
    </w:rPr>
  </w:style>
  <w:style w:type="character" w:customStyle="1" w:styleId="BodyTextChar">
    <w:name w:val="Body Text Char"/>
    <w:basedOn w:val="DefaultParagraphFont"/>
    <w:link w:val="BodyText"/>
    <w:rsid w:val="00E8792C"/>
    <w:rPr>
      <w:rFonts w:ascii="Times New Roman" w:eastAsia="Times New Roman" w:hAnsi="Times New Roman" w:cs="Times New Roman"/>
      <w:color w:val="0E1527"/>
      <w:sz w:val="26"/>
      <w:szCs w:val="26"/>
    </w:rPr>
  </w:style>
  <w:style w:type="character" w:customStyle="1" w:styleId="Heading1">
    <w:name w:val="Heading #1_"/>
    <w:basedOn w:val="DefaultParagraphFont"/>
    <w:link w:val="Heading10"/>
    <w:rsid w:val="00E8792C"/>
    <w:rPr>
      <w:rFonts w:ascii="Times New Roman" w:eastAsia="Times New Roman" w:hAnsi="Times New Roman" w:cs="Times New Roman"/>
      <w:b/>
      <w:bCs/>
      <w:color w:val="0E1527"/>
      <w:sz w:val="26"/>
      <w:szCs w:val="26"/>
    </w:rPr>
  </w:style>
  <w:style w:type="paragraph" w:styleId="BodyText">
    <w:name w:val="Body Text"/>
    <w:basedOn w:val="Normal"/>
    <w:link w:val="BodyTextChar"/>
    <w:qFormat/>
    <w:rsid w:val="00E8792C"/>
    <w:pPr>
      <w:widowControl w:val="0"/>
      <w:spacing w:after="100" w:line="259" w:lineRule="auto"/>
      <w:ind w:firstLine="400"/>
    </w:pPr>
    <w:rPr>
      <w:color w:val="0E1527"/>
      <w:sz w:val="26"/>
      <w:szCs w:val="26"/>
    </w:rPr>
  </w:style>
  <w:style w:type="character" w:customStyle="1" w:styleId="BodyTextChar1">
    <w:name w:val="Body Text Char1"/>
    <w:basedOn w:val="DefaultParagraphFont"/>
    <w:uiPriority w:val="99"/>
    <w:semiHidden/>
    <w:rsid w:val="00E8792C"/>
    <w:rPr>
      <w:rFonts w:ascii="Times New Roman" w:eastAsia="Times New Roman" w:hAnsi="Times New Roman" w:cs="Times New Roman"/>
      <w:sz w:val="24"/>
      <w:szCs w:val="24"/>
    </w:rPr>
  </w:style>
  <w:style w:type="paragraph" w:customStyle="1" w:styleId="Heading10">
    <w:name w:val="Heading #1"/>
    <w:basedOn w:val="Normal"/>
    <w:link w:val="Heading1"/>
    <w:rsid w:val="00E8792C"/>
    <w:pPr>
      <w:widowControl w:val="0"/>
      <w:spacing w:after="100" w:line="259" w:lineRule="auto"/>
      <w:ind w:firstLine="760"/>
      <w:outlineLvl w:val="0"/>
    </w:pPr>
    <w:rPr>
      <w:b/>
      <w:bCs/>
      <w:color w:val="0E1527"/>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1E567-F014-495E-B279-B2D3FC81B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6846</Words>
  <Characters>39025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Lê Ngọc Tú</cp:lastModifiedBy>
  <cp:revision>3</cp:revision>
  <cp:lastPrinted>2024-08-26T08:26:00Z</cp:lastPrinted>
  <dcterms:created xsi:type="dcterms:W3CDTF">2025-04-04T08:38:00Z</dcterms:created>
  <dcterms:modified xsi:type="dcterms:W3CDTF">2025-04-04T09:42:00Z</dcterms:modified>
</cp:coreProperties>
</file>